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4DF" w:rsidRPr="00394310" w:rsidRDefault="00637895" w:rsidP="00637895">
      <w:pPr>
        <w:pStyle w:val="Authors"/>
        <w:framePr w:w="9361" w:hSpace="0" w:vSpace="425" w:wrap="notBeside"/>
        <w:spacing w:before="160"/>
        <w:rPr>
          <w:rFonts w:ascii="Times New Roman" w:hAnsi="Times New Roman"/>
          <w:b/>
          <w:color w:val="000000" w:themeColor="text1"/>
          <w:sz w:val="32"/>
          <w:szCs w:val="32"/>
        </w:rPr>
      </w:pPr>
      <w:r w:rsidRPr="00394310">
        <w:rPr>
          <w:rFonts w:ascii="Times New Roman" w:hAnsi="Times New Roman"/>
          <w:b/>
          <w:color w:val="000000" w:themeColor="text1"/>
          <w:sz w:val="32"/>
          <w:szCs w:val="32"/>
        </w:rPr>
        <w:t xml:space="preserve">Artificial light sources as light pollutant of humans melatonin suppression </w:t>
      </w:r>
    </w:p>
    <w:p w:rsidR="00AA64DF" w:rsidRPr="00BB6479" w:rsidRDefault="001E6329" w:rsidP="008E37A0">
      <w:pPr>
        <w:pStyle w:val="Authors"/>
        <w:framePr w:w="9361" w:hSpace="0" w:vSpace="425" w:wrap="notBeside"/>
        <w:spacing w:after="120"/>
        <w:rPr>
          <w:rFonts w:ascii="Times New Roman" w:hAnsi="Times New Roman"/>
          <w:sz w:val="20"/>
          <w:szCs w:val="20"/>
          <w:vertAlign w:val="superscript"/>
        </w:rPr>
      </w:pPr>
      <w:r>
        <w:rPr>
          <w:rFonts w:ascii="Times New Roman" w:hAnsi="Times New Roman"/>
          <w:sz w:val="20"/>
          <w:szCs w:val="20"/>
        </w:rPr>
        <w:t>Piotr Jakubowski</w:t>
      </w:r>
      <w:r w:rsidR="00330CF3">
        <w:rPr>
          <w:rStyle w:val="Odwoanieprzypisudolnego"/>
          <w:sz w:val="20"/>
          <w:szCs w:val="20"/>
        </w:rPr>
        <w:footnoteReference w:id="1"/>
      </w:r>
    </w:p>
    <w:p w:rsidR="005854E7" w:rsidRDefault="00BA38E4" w:rsidP="008E37A0">
      <w:pPr>
        <w:pStyle w:val="Authors"/>
        <w:framePr w:w="9361" w:hSpace="0" w:vSpace="425" w:wrap="notBeside"/>
        <w:spacing w:after="240"/>
        <w:rPr>
          <w:i/>
          <w:sz w:val="20"/>
          <w:szCs w:val="20"/>
        </w:rPr>
      </w:pPr>
      <w:r w:rsidRPr="00BA38E4">
        <w:rPr>
          <w:i/>
          <w:sz w:val="20"/>
          <w:szCs w:val="20"/>
        </w:rPr>
        <w:t xml:space="preserve">Bialystok University of Technology, </w:t>
      </w:r>
      <w:r>
        <w:rPr>
          <w:i/>
          <w:sz w:val="20"/>
          <w:szCs w:val="20"/>
        </w:rPr>
        <w:t>F</w:t>
      </w:r>
      <w:r w:rsidRPr="00AA64DF">
        <w:rPr>
          <w:i/>
          <w:sz w:val="20"/>
          <w:szCs w:val="20"/>
        </w:rPr>
        <w:t>aculty of</w:t>
      </w:r>
      <w:r>
        <w:rPr>
          <w:i/>
          <w:sz w:val="20"/>
          <w:szCs w:val="20"/>
        </w:rPr>
        <w:t xml:space="preserve"> Electrical Engineering</w:t>
      </w:r>
      <w:r w:rsidRPr="00BA38E4">
        <w:rPr>
          <w:i/>
          <w:sz w:val="20"/>
          <w:szCs w:val="20"/>
        </w:rPr>
        <w:t xml:space="preserve">, </w:t>
      </w:r>
      <w:r>
        <w:rPr>
          <w:i/>
          <w:sz w:val="20"/>
          <w:szCs w:val="20"/>
        </w:rPr>
        <w:t>Wiejska 45d</w:t>
      </w:r>
      <w:r w:rsidRPr="00BA38E4">
        <w:rPr>
          <w:i/>
          <w:sz w:val="20"/>
          <w:szCs w:val="20"/>
        </w:rPr>
        <w:t>, 15-351Bia</w:t>
      </w:r>
      <w:r>
        <w:rPr>
          <w:rFonts w:hint="eastAsia"/>
          <w:i/>
          <w:sz w:val="20"/>
          <w:szCs w:val="20"/>
        </w:rPr>
        <w:t>l</w:t>
      </w:r>
      <w:r w:rsidRPr="00BA38E4">
        <w:rPr>
          <w:i/>
          <w:sz w:val="20"/>
          <w:szCs w:val="20"/>
        </w:rPr>
        <w:t>ystok</w:t>
      </w:r>
      <w:r w:rsidR="001342F9">
        <w:rPr>
          <w:i/>
          <w:sz w:val="20"/>
          <w:szCs w:val="20"/>
        </w:rPr>
        <w:t xml:space="preserve"> </w:t>
      </w:r>
      <w:r w:rsidR="00DA7392">
        <w:rPr>
          <w:i/>
          <w:sz w:val="20"/>
          <w:szCs w:val="20"/>
        </w:rPr>
        <w:br/>
      </w:r>
      <w:r w:rsidR="00330CF3" w:rsidRPr="00AA64DF">
        <w:rPr>
          <w:i/>
          <w:sz w:val="20"/>
          <w:szCs w:val="20"/>
          <w:vertAlign w:val="superscript"/>
        </w:rPr>
        <w:t xml:space="preserve"> </w:t>
      </w:r>
    </w:p>
    <w:p w:rsidR="00E97402" w:rsidRPr="00D64C4A" w:rsidRDefault="005854E7" w:rsidP="008E37A0">
      <w:pPr>
        <w:pStyle w:val="Authors"/>
        <w:framePr w:w="9361" w:hSpace="0" w:vSpace="425" w:wrap="notBeside"/>
        <w:spacing w:after="0"/>
        <w:rPr>
          <w:color w:val="FF0000"/>
          <w:sz w:val="16"/>
          <w:szCs w:val="16"/>
        </w:rPr>
      </w:pPr>
      <w:r w:rsidRPr="00263600">
        <w:rPr>
          <w:sz w:val="16"/>
          <w:szCs w:val="16"/>
        </w:rPr>
        <w:t>Received</w:t>
      </w:r>
      <w:r w:rsidR="00263600">
        <w:rPr>
          <w:sz w:val="16"/>
          <w:szCs w:val="16"/>
        </w:rPr>
        <w:t xml:space="preserve"> </w:t>
      </w:r>
      <w:r w:rsidR="00D64C4A" w:rsidRPr="0069424A">
        <w:rPr>
          <w:color w:val="171717"/>
          <w:sz w:val="16"/>
          <w:szCs w:val="16"/>
        </w:rPr>
        <w:t>August</w:t>
      </w:r>
      <w:r w:rsidR="00263600" w:rsidRPr="0069424A">
        <w:rPr>
          <w:color w:val="171717"/>
          <w:sz w:val="16"/>
          <w:szCs w:val="16"/>
        </w:rPr>
        <w:t xml:space="preserve"> </w:t>
      </w:r>
      <w:r w:rsidR="00D64C4A" w:rsidRPr="0069424A">
        <w:rPr>
          <w:color w:val="171717"/>
          <w:sz w:val="16"/>
          <w:szCs w:val="16"/>
        </w:rPr>
        <w:t>1</w:t>
      </w:r>
      <w:r w:rsidR="00CD29FE">
        <w:rPr>
          <w:color w:val="171717"/>
          <w:sz w:val="16"/>
          <w:szCs w:val="16"/>
        </w:rPr>
        <w:t>4</w:t>
      </w:r>
      <w:r w:rsidR="00D64C4A" w:rsidRPr="0069424A">
        <w:rPr>
          <w:color w:val="171717"/>
          <w:sz w:val="16"/>
          <w:szCs w:val="16"/>
        </w:rPr>
        <w:t>, 2019</w:t>
      </w:r>
      <w:r w:rsidRPr="0069424A">
        <w:rPr>
          <w:color w:val="171717"/>
          <w:sz w:val="16"/>
          <w:szCs w:val="16"/>
        </w:rPr>
        <w:t xml:space="preserve">; revised </w:t>
      </w:r>
      <w:r w:rsidRPr="00D64C4A">
        <w:rPr>
          <w:color w:val="FF0000"/>
          <w:sz w:val="16"/>
          <w:szCs w:val="16"/>
        </w:rPr>
        <w:t>December 2, 2008; accepted December 4, 2008</w:t>
      </w:r>
      <w:r w:rsidR="00263600" w:rsidRPr="00D64C4A">
        <w:rPr>
          <w:color w:val="FF0000"/>
          <w:sz w:val="16"/>
          <w:szCs w:val="16"/>
        </w:rPr>
        <w:t>; published December 5, 2008</w:t>
      </w:r>
    </w:p>
    <w:p w:rsidR="00F45099" w:rsidRDefault="00E97402" w:rsidP="008E37A0">
      <w:pPr>
        <w:jc w:val="both"/>
        <w:rPr>
          <w:rFonts w:ascii="Times New Roman" w:hAnsi="Times New Roman"/>
          <w:sz w:val="16"/>
          <w:szCs w:val="16"/>
        </w:rPr>
      </w:pPr>
      <w:r w:rsidRPr="00F4515B">
        <w:rPr>
          <w:rFonts w:ascii="Times New Roman" w:hAnsi="Times New Roman"/>
          <w:b/>
          <w:iCs/>
        </w:rPr>
        <w:t>Abstract</w:t>
      </w:r>
      <w:r w:rsidRPr="00330CF3">
        <w:rPr>
          <w:rFonts w:ascii="Times New Roman" w:hAnsi="Times New Roman"/>
          <w:sz w:val="16"/>
          <w:szCs w:val="16"/>
        </w:rPr>
        <w:t>—</w:t>
      </w:r>
      <w:r w:rsidR="007422F3">
        <w:rPr>
          <w:rFonts w:ascii="Times New Roman" w:hAnsi="Times New Roman"/>
          <w:sz w:val="16"/>
          <w:szCs w:val="16"/>
        </w:rPr>
        <w:t>Blue light emitted by LEDs might influence on natural biological rhythm of human being</w:t>
      </w:r>
      <w:r w:rsidR="00794B51">
        <w:rPr>
          <w:rFonts w:ascii="Times New Roman" w:hAnsi="Times New Roman"/>
          <w:sz w:val="16"/>
          <w:szCs w:val="16"/>
        </w:rPr>
        <w:t>, what can be</w:t>
      </w:r>
      <w:r w:rsidR="00A52F8D">
        <w:rPr>
          <w:rFonts w:ascii="Times New Roman" w:hAnsi="Times New Roman"/>
          <w:sz w:val="16"/>
          <w:szCs w:val="16"/>
        </w:rPr>
        <w:t xml:space="preserve"> considered as environment po</w:t>
      </w:r>
      <w:r w:rsidR="00794B51">
        <w:rPr>
          <w:rFonts w:ascii="Times New Roman" w:hAnsi="Times New Roman"/>
          <w:sz w:val="16"/>
          <w:szCs w:val="16"/>
        </w:rPr>
        <w:t>l</w:t>
      </w:r>
      <w:r w:rsidR="00A52F8D">
        <w:rPr>
          <w:rFonts w:ascii="Times New Roman" w:hAnsi="Times New Roman"/>
          <w:sz w:val="16"/>
          <w:szCs w:val="16"/>
        </w:rPr>
        <w:t>lution.</w:t>
      </w:r>
      <w:r w:rsidR="007422F3">
        <w:rPr>
          <w:rFonts w:ascii="Times New Roman" w:hAnsi="Times New Roman"/>
          <w:sz w:val="16"/>
          <w:szCs w:val="16"/>
        </w:rPr>
        <w:t xml:space="preserve"> </w:t>
      </w:r>
      <w:r w:rsidR="00A22835" w:rsidRPr="00A22835">
        <w:rPr>
          <w:rFonts w:ascii="Times New Roman" w:hAnsi="Times New Roman"/>
          <w:sz w:val="16"/>
          <w:szCs w:val="16"/>
        </w:rPr>
        <w:t xml:space="preserve">In this paper the effect of </w:t>
      </w:r>
      <w:r w:rsidR="00895D30">
        <w:rPr>
          <w:rFonts w:ascii="Times New Roman" w:hAnsi="Times New Roman"/>
          <w:sz w:val="16"/>
          <w:szCs w:val="16"/>
        </w:rPr>
        <w:t xml:space="preserve">the latest </w:t>
      </w:r>
      <w:r w:rsidR="003259FE">
        <w:rPr>
          <w:rFonts w:ascii="Times New Roman" w:hAnsi="Times New Roman"/>
          <w:sz w:val="16"/>
          <w:szCs w:val="16"/>
        </w:rPr>
        <w:t>commercially available LEDs on melatonin suppression index (MSI) was analyzed. Research was done based on spectral power distribution</w:t>
      </w:r>
      <w:r w:rsidR="009711E5">
        <w:rPr>
          <w:rFonts w:ascii="Times New Roman" w:hAnsi="Times New Roman"/>
          <w:sz w:val="16"/>
          <w:szCs w:val="16"/>
        </w:rPr>
        <w:t xml:space="preserve"> of given LED</w:t>
      </w:r>
      <w:r w:rsidR="003259FE">
        <w:rPr>
          <w:rFonts w:ascii="Times New Roman" w:hAnsi="Times New Roman"/>
          <w:sz w:val="16"/>
          <w:szCs w:val="16"/>
        </w:rPr>
        <w:t xml:space="preserve"> (SPD) and melatonin suppression function</w:t>
      </w:r>
      <w:r w:rsidR="009711E5">
        <w:rPr>
          <w:rFonts w:ascii="Times New Roman" w:hAnsi="Times New Roman"/>
          <w:sz w:val="16"/>
          <w:szCs w:val="16"/>
        </w:rPr>
        <w:t xml:space="preserve"> in reference to melatonin suppression under daylight (illuminant D65)</w:t>
      </w:r>
      <w:r w:rsidR="00A22835" w:rsidRPr="00A22835">
        <w:rPr>
          <w:rFonts w:ascii="Times New Roman" w:hAnsi="Times New Roman"/>
          <w:sz w:val="16"/>
          <w:szCs w:val="16"/>
        </w:rPr>
        <w:t xml:space="preserve">. </w:t>
      </w:r>
      <w:r w:rsidR="00740211">
        <w:rPr>
          <w:rFonts w:ascii="Times New Roman" w:hAnsi="Times New Roman"/>
          <w:sz w:val="16"/>
          <w:szCs w:val="16"/>
        </w:rPr>
        <w:t>Results</w:t>
      </w:r>
      <w:r w:rsidR="00647BE5">
        <w:rPr>
          <w:rFonts w:ascii="Times New Roman" w:hAnsi="Times New Roman"/>
          <w:sz w:val="16"/>
          <w:szCs w:val="16"/>
        </w:rPr>
        <w:t xml:space="preserve"> of calculations shows </w:t>
      </w:r>
      <w:r w:rsidR="00547A2B">
        <w:rPr>
          <w:rFonts w:ascii="Times New Roman" w:hAnsi="Times New Roman"/>
          <w:sz w:val="16"/>
          <w:szCs w:val="16"/>
        </w:rPr>
        <w:t>strong correlation between CCT and MSI</w:t>
      </w:r>
      <w:r w:rsidR="00794B51">
        <w:rPr>
          <w:rFonts w:ascii="Times New Roman" w:hAnsi="Times New Roman"/>
          <w:sz w:val="16"/>
          <w:szCs w:val="16"/>
        </w:rPr>
        <w:t>, however MSI factor might vary for different LEDs with same CCT.</w:t>
      </w:r>
    </w:p>
    <w:p w:rsidR="004A2788" w:rsidRPr="008E37A0" w:rsidRDefault="004A2788" w:rsidP="00AA64DF">
      <w:pPr>
        <w:pBdr>
          <w:bottom w:val="double" w:sz="4" w:space="1" w:color="auto"/>
        </w:pBdr>
        <w:jc w:val="both"/>
        <w:rPr>
          <w:sz w:val="16"/>
          <w:szCs w:val="16"/>
          <w:lang w:val="en-GB"/>
        </w:rPr>
      </w:pPr>
    </w:p>
    <w:p w:rsidR="004A2788" w:rsidRPr="008E37A0" w:rsidRDefault="004A2788" w:rsidP="004A2788">
      <w:pPr>
        <w:jc w:val="both"/>
        <w:rPr>
          <w:sz w:val="16"/>
          <w:szCs w:val="16"/>
          <w:lang w:val="en-GB"/>
        </w:rPr>
      </w:pPr>
    </w:p>
    <w:p w:rsidR="00057EA9" w:rsidRDefault="00057EA9" w:rsidP="00AF2354">
      <w:pPr>
        <w:pStyle w:val="Wcicienormalne"/>
      </w:pPr>
      <w:r>
        <w:t xml:space="preserve">In recent years we could observe </w:t>
      </w:r>
      <w:r w:rsidR="007136C8">
        <w:t xml:space="preserve">a </w:t>
      </w:r>
      <w:r>
        <w:t>rapid development of LED technology. In result, conventional light sources have been replaced in most lighting applications</w:t>
      </w:r>
      <w:r w:rsidR="007136C8">
        <w:t xml:space="preserve"> today. Lifetime and efficiency of LEDs were the main driver for this change. Contemporary LEDs can offer efficiency above 200 lm/W and lifetime exceeding 50 000 hour. Nevertheless, </w:t>
      </w:r>
      <w:r w:rsidR="002F6506">
        <w:t>further efficiency improvement is difficult to achieve</w:t>
      </w:r>
      <w:r w:rsidR="006150AA">
        <w:t>,</w:t>
      </w:r>
      <w:r w:rsidR="002F6506">
        <w:t xml:space="preserve"> as we’re getting closer and closer to theoretical limits</w:t>
      </w:r>
      <w:r w:rsidR="002E56D3">
        <w:t xml:space="preserve"> </w:t>
      </w:r>
      <w:r w:rsidR="002E56D3" w:rsidRPr="00E145EA">
        <w:t>[1]</w:t>
      </w:r>
      <w:r w:rsidR="002F6506" w:rsidRPr="00E145EA">
        <w:t>.</w:t>
      </w:r>
      <w:r w:rsidR="002F6506">
        <w:t xml:space="preserve"> On the other hand, </w:t>
      </w:r>
      <w:r w:rsidR="002E56D3">
        <w:t xml:space="preserve">lifetime is satisfactory for most of applications </w:t>
      </w:r>
      <w:r w:rsidR="00901DCF">
        <w:t xml:space="preserve">of </w:t>
      </w:r>
      <w:r w:rsidR="002E56D3">
        <w:t xml:space="preserve">general lighting. For these reasons, LED manufacturers are searching </w:t>
      </w:r>
      <w:r w:rsidR="00901DCF">
        <w:t>for other ideas</w:t>
      </w:r>
      <w:r w:rsidR="002E56D3">
        <w:t xml:space="preserve"> to improve their products. </w:t>
      </w:r>
      <w:r w:rsidR="00901DCF">
        <w:t xml:space="preserve">Improvements in light quality is </w:t>
      </w:r>
      <w:r w:rsidR="003A5005">
        <w:t>currently</w:t>
      </w:r>
      <w:r w:rsidR="00901DCF">
        <w:t xml:space="preserve"> the most </w:t>
      </w:r>
      <w:r w:rsidR="003C69F3">
        <w:t>promising</w:t>
      </w:r>
      <w:r w:rsidR="00901DCF">
        <w:t xml:space="preserve"> way of further LEDs development. </w:t>
      </w:r>
      <w:r w:rsidR="003A5005">
        <w:t>In particular, wellbeing is a key aspect of every modern lighting installation</w:t>
      </w:r>
      <w:r w:rsidR="00696BCA">
        <w:t xml:space="preserve"> </w:t>
      </w:r>
      <w:r w:rsidR="00696BCA" w:rsidRPr="007A5DF1">
        <w:t>[2</w:t>
      </w:r>
      <w:r w:rsidR="00E145EA" w:rsidRPr="007A5DF1">
        <w:t>]</w:t>
      </w:r>
      <w:r w:rsidR="00B02561">
        <w:t>-[3]</w:t>
      </w:r>
      <w:r w:rsidR="003A5005" w:rsidRPr="007A5DF1">
        <w:t>.</w:t>
      </w:r>
      <w:r w:rsidR="003A5005">
        <w:t xml:space="preserve"> </w:t>
      </w:r>
      <w:r w:rsidR="003B295E">
        <w:t>I</w:t>
      </w:r>
      <w:r w:rsidR="0053277F">
        <w:t xml:space="preserve">t was </w:t>
      </w:r>
      <w:r w:rsidR="003A5005">
        <w:t>proven</w:t>
      </w:r>
      <w:r w:rsidR="00C139A0">
        <w:t xml:space="preserve"> </w:t>
      </w:r>
      <w:r w:rsidR="00B02561">
        <w:t>[4</w:t>
      </w:r>
      <w:r w:rsidR="00E145EA" w:rsidRPr="008C08E6">
        <w:t>]-[</w:t>
      </w:r>
      <w:r w:rsidR="00B02561">
        <w:t>5</w:t>
      </w:r>
      <w:r w:rsidR="00C139A0" w:rsidRPr="008C08E6">
        <w:t>]</w:t>
      </w:r>
      <w:r w:rsidR="003A5005" w:rsidRPr="008C08E6">
        <w:t>,</w:t>
      </w:r>
      <w:r w:rsidR="003A5005">
        <w:t xml:space="preserve"> that blue light creates not only visual sensation, but can also influence biological rhythm of the body, so called circadian cycle. </w:t>
      </w:r>
      <w:r w:rsidR="00C139A0">
        <w:t xml:space="preserve">The mechanism was created by thousands years of evolution and have strong influence on our comfort, </w:t>
      </w:r>
      <w:r w:rsidR="00542497">
        <w:t xml:space="preserve">concentration and </w:t>
      </w:r>
      <w:r w:rsidR="00752579">
        <w:t>alertness.</w:t>
      </w:r>
      <w:r w:rsidR="00542497">
        <w:t xml:space="preserve"> </w:t>
      </w:r>
      <w:r w:rsidR="008050A9">
        <w:t>On the other hand, d</w:t>
      </w:r>
      <w:r w:rsidR="00542497">
        <w:t>isorders of this cycle might lead to serious disease</w:t>
      </w:r>
      <w:r w:rsidR="00B02561">
        <w:t xml:space="preserve">. Blue light might also </w:t>
      </w:r>
      <w:r w:rsidR="008C08E6">
        <w:t xml:space="preserve">cause immediate </w:t>
      </w:r>
      <w:r w:rsidR="00B02561">
        <w:t xml:space="preserve">eye damage, but this mechanism is independent from topic discussed in this paper </w:t>
      </w:r>
      <w:r w:rsidR="008C08E6" w:rsidRPr="008C08E6">
        <w:t>[</w:t>
      </w:r>
      <w:r w:rsidR="00B02561">
        <w:t>6</w:t>
      </w:r>
      <w:r w:rsidR="00542497" w:rsidRPr="008C08E6">
        <w:t>].</w:t>
      </w:r>
      <w:r w:rsidR="008050A9">
        <w:t xml:space="preserve"> </w:t>
      </w:r>
      <w:r w:rsidR="00DA4720">
        <w:t xml:space="preserve">For these reasons, high amount blue light is considered as </w:t>
      </w:r>
      <w:r w:rsidR="00B279A4">
        <w:t xml:space="preserve">environment </w:t>
      </w:r>
      <w:r w:rsidR="00DA4720">
        <w:t xml:space="preserve">pollution. </w:t>
      </w:r>
      <w:r w:rsidR="001259F4">
        <w:t xml:space="preserve">White </w:t>
      </w:r>
      <w:r w:rsidR="008050A9">
        <w:t xml:space="preserve">LEDs are </w:t>
      </w:r>
      <w:r w:rsidR="00B279A4">
        <w:t>called:</w:t>
      </w:r>
      <w:r w:rsidR="008050A9">
        <w:t xml:space="preserve"> blue rich light sources, i.e. </w:t>
      </w:r>
      <w:r w:rsidR="009C2FAC">
        <w:t xml:space="preserve">contain significant amount of radiated power in </w:t>
      </w:r>
      <w:r w:rsidR="00512E64">
        <w:t xml:space="preserve">range between </w:t>
      </w:r>
      <w:r w:rsidR="004E19FB">
        <w:t>(</w:t>
      </w:r>
      <w:r w:rsidR="00512E64">
        <w:t>400</w:t>
      </w:r>
      <w:r w:rsidR="004E19FB">
        <w:t>÷</w:t>
      </w:r>
      <w:r w:rsidR="00512E64">
        <w:t>500</w:t>
      </w:r>
      <w:r w:rsidR="004E19FB">
        <w:t>)</w:t>
      </w:r>
      <w:r w:rsidR="00CD76D7">
        <w:t> </w:t>
      </w:r>
      <w:r w:rsidR="00512E64">
        <w:t>nm</w:t>
      </w:r>
      <w:r w:rsidR="00752579">
        <w:t xml:space="preserve">. Light in this range </w:t>
      </w:r>
      <w:r w:rsidR="00E6425F">
        <w:t xml:space="preserve">is responsible </w:t>
      </w:r>
      <w:r w:rsidR="003B295E">
        <w:t xml:space="preserve">for stimulation </w:t>
      </w:r>
      <w:r w:rsidR="003B295E">
        <w:rPr>
          <w:lang w:val="en-US"/>
        </w:rPr>
        <w:t>i</w:t>
      </w:r>
      <w:r w:rsidR="003B295E" w:rsidRPr="003B295E">
        <w:rPr>
          <w:lang w:val="en-US"/>
        </w:rPr>
        <w:t>ntrinsically photosensitive retinal ganglion cells</w:t>
      </w:r>
      <w:r w:rsidR="003B295E">
        <w:rPr>
          <w:lang w:val="en-US"/>
        </w:rPr>
        <w:t xml:space="preserve"> </w:t>
      </w:r>
      <w:r w:rsidR="003B295E">
        <w:t xml:space="preserve">(so called ip-RGC </w:t>
      </w:r>
      <w:r w:rsidR="00B02561">
        <w:t>[7</w:t>
      </w:r>
      <w:r w:rsidR="003B295E" w:rsidRPr="00B02561">
        <w:t>]).</w:t>
      </w:r>
      <w:r w:rsidR="009514C0">
        <w:t xml:space="preserve"> </w:t>
      </w:r>
      <w:r w:rsidR="00ED0F79">
        <w:t>This information is utilized by brain for melatonin secretion. Finally, melatonin concentration in blood is determining phases of human activity and sleep.</w:t>
      </w:r>
    </w:p>
    <w:p w:rsidR="00E124B6" w:rsidRDefault="005533FB" w:rsidP="00E124B6">
      <w:pPr>
        <w:pStyle w:val="Wcicienormalne"/>
      </w:pPr>
      <w:r>
        <w:t>T</w:t>
      </w:r>
      <w:r w:rsidR="009514C0">
        <w:t xml:space="preserve">here are few ways to </w:t>
      </w:r>
      <w:r w:rsidR="00AC1840">
        <w:t>quote</w:t>
      </w:r>
      <w:r w:rsidR="00B02561">
        <w:t xml:space="preserve"> and measure</w:t>
      </w:r>
      <w:r w:rsidR="009514C0">
        <w:t xml:space="preserve"> potential influence of given light source </w:t>
      </w:r>
      <w:r w:rsidR="006D0886">
        <w:t>on</w:t>
      </w:r>
      <w:r w:rsidR="009514C0">
        <w:t xml:space="preserve"> human body in respect to blue light exposition</w:t>
      </w:r>
      <w:r w:rsidR="002419E7">
        <w:t xml:space="preserve"> </w:t>
      </w:r>
      <w:r w:rsidR="00E8045F" w:rsidRPr="00E8045F">
        <w:t>[8]-[</w:t>
      </w:r>
      <w:r w:rsidR="009A031B">
        <w:t>11</w:t>
      </w:r>
      <w:r w:rsidR="00E8045F" w:rsidRPr="00E8045F">
        <w:t>]</w:t>
      </w:r>
      <w:r w:rsidR="009514C0" w:rsidRPr="00E8045F">
        <w:t>.</w:t>
      </w:r>
      <w:r w:rsidR="009514C0">
        <w:t xml:space="preserve"> </w:t>
      </w:r>
      <w:r w:rsidR="00410770">
        <w:t>Melatonin suppression index (MSI) was o</w:t>
      </w:r>
      <w:r w:rsidR="009514C0">
        <w:t xml:space="preserve">ne of the first </w:t>
      </w:r>
      <w:r w:rsidR="00410770">
        <w:t>commonly used factor for describing the phenomena. It is</w:t>
      </w:r>
      <w:r w:rsidR="00AE5231">
        <w:t xml:space="preserve"> relating spectral power distribution of given light source </w:t>
      </w:r>
      <w:r w:rsidR="00E04D6A" w:rsidRPr="00E04D6A">
        <w:t>S</w:t>
      </w:r>
      <w:r w:rsidR="00E04D6A">
        <w:rPr>
          <w:vertAlign w:val="subscript"/>
        </w:rPr>
        <w:t>lamp</w:t>
      </w:r>
      <w:r w:rsidR="00E04D6A">
        <w:t xml:space="preserve">(λ) </w:t>
      </w:r>
      <w:r w:rsidR="00AE5231" w:rsidRPr="00E04D6A">
        <w:t>to</w:t>
      </w:r>
      <w:r w:rsidR="00AE5231">
        <w:t xml:space="preserve"> </w:t>
      </w:r>
      <w:r w:rsidR="00410770">
        <w:t xml:space="preserve">experimentally measured </w:t>
      </w:r>
      <w:r w:rsidR="00AE5231">
        <w:t>melatonin suppression function</w:t>
      </w:r>
      <w:r w:rsidR="00AC1840">
        <w:t xml:space="preserve"> M(λ)</w:t>
      </w:r>
      <w:r w:rsidR="00AE5231">
        <w:t xml:space="preserve"> and daylight radiation as il</w:t>
      </w:r>
      <w:r w:rsidR="00230C62">
        <w:t>l</w:t>
      </w:r>
      <w:r w:rsidR="00AE5231">
        <w:t>uminant D65</w:t>
      </w:r>
      <w:r w:rsidR="00E04D6A">
        <w:t xml:space="preserve">(λ) </w:t>
      </w:r>
      <w:r w:rsidR="00AE5231">
        <w:t xml:space="preserve"> (see </w:t>
      </w:r>
      <w:r w:rsidR="00AC1840">
        <w:t xml:space="preserve">formula 1 and </w:t>
      </w:r>
      <w:r w:rsidR="00515880">
        <w:t>F</w:t>
      </w:r>
      <w:r w:rsidR="00AE5231">
        <w:t>ig. 1)</w:t>
      </w:r>
      <w:r w:rsidR="006D0886">
        <w:t xml:space="preserve">. </w:t>
      </w:r>
      <w:bookmarkStart w:id="0" w:name="_GoBack"/>
      <w:bookmarkEnd w:id="0"/>
    </w:p>
    <w:p w:rsidR="00181003" w:rsidRDefault="00181003" w:rsidP="00AF2354">
      <w:pPr>
        <w:pStyle w:val="Wcicienormalne"/>
      </w:pPr>
    </w:p>
    <w:p w:rsidR="00AC1840" w:rsidRPr="00F9469D" w:rsidRDefault="00F1744E" w:rsidP="00F1744E">
      <w:pPr>
        <w:pStyle w:val="equation0"/>
        <w:tabs>
          <w:tab w:val="clear" w:pos="4536"/>
          <w:tab w:val="center" w:pos="2268"/>
          <w:tab w:val="right" w:pos="4675"/>
        </w:tabs>
        <w:spacing w:before="60" w:after="60" w:line="240" w:lineRule="auto"/>
        <w:rPr>
          <w:sz w:val="20"/>
          <w:lang w:val="en-GB"/>
        </w:rPr>
      </w:pPr>
      <w:r>
        <w:rPr>
          <w:sz w:val="20"/>
          <w:lang w:val="en-GB"/>
        </w:rPr>
        <w:tab/>
      </w:r>
      <m:oMath>
        <m:r>
          <w:rPr>
            <w:rFonts w:ascii="Cambria Math" w:hAnsi="Cambria Math"/>
            <w:lang w:val="pl-PL"/>
          </w:rPr>
          <m:t>MSI</m:t>
        </m:r>
        <m:r>
          <w:rPr>
            <w:rFonts w:ascii="Cambria Math" w:hAnsi="Cambria Math"/>
            <w:lang w:val="en-GB"/>
          </w:rPr>
          <m:t>=</m:t>
        </m:r>
        <m:f>
          <m:fPr>
            <m:ctrlPr>
              <w:rPr>
                <w:rFonts w:ascii="Cambria Math" w:hAnsi="Cambria Math"/>
                <w:i/>
                <w:lang w:val="pl-PL"/>
              </w:rPr>
            </m:ctrlPr>
          </m:fPr>
          <m:num>
            <m:nary>
              <m:naryPr>
                <m:ctrlPr>
                  <w:rPr>
                    <w:rFonts w:ascii="Cambria Math" w:hAnsi="Cambria Math"/>
                    <w:i/>
                    <w:lang w:val="pl-PL"/>
                  </w:rPr>
                </m:ctrlPr>
              </m:naryPr>
              <m:sub>
                <m:r>
                  <w:rPr>
                    <w:rFonts w:ascii="Cambria Math" w:hAnsi="Cambria Math"/>
                    <w:lang w:val="en-GB"/>
                  </w:rPr>
                  <m:t>380</m:t>
                </m:r>
              </m:sub>
              <m:sup>
                <m:r>
                  <w:rPr>
                    <w:rFonts w:ascii="Cambria Math" w:hAnsi="Cambria Math"/>
                    <w:lang w:val="en-GB"/>
                  </w:rPr>
                  <m:t>730</m:t>
                </m:r>
              </m:sup>
              <m:e>
                <m:sSub>
                  <m:sSubPr>
                    <m:ctrlPr>
                      <w:rPr>
                        <w:rFonts w:ascii="Cambria Math" w:hAnsi="Cambria Math"/>
                        <w:i/>
                        <w:lang w:val="pl-PL"/>
                      </w:rPr>
                    </m:ctrlPr>
                  </m:sSubPr>
                  <m:e>
                    <m:r>
                      <w:rPr>
                        <w:rFonts w:ascii="Cambria Math" w:hAnsi="Cambria Math"/>
                        <w:lang w:val="pl-PL"/>
                      </w:rPr>
                      <m:t>S</m:t>
                    </m:r>
                  </m:e>
                  <m:sub>
                    <m:r>
                      <w:rPr>
                        <w:rFonts w:ascii="Cambria Math" w:hAnsi="Cambria Math"/>
                        <w:lang w:val="pl-PL"/>
                      </w:rPr>
                      <m:t>lamp</m:t>
                    </m:r>
                  </m:sub>
                </m:sSub>
                <m:r>
                  <w:rPr>
                    <w:rFonts w:ascii="Cambria Math" w:hAnsi="Cambria Math"/>
                    <w:lang w:val="en-GB"/>
                  </w:rPr>
                  <m:t>(</m:t>
                </m:r>
                <m:r>
                  <w:rPr>
                    <w:rFonts w:ascii="Cambria Math" w:hAnsi="Cambria Math"/>
                    <w:lang w:val="pl-PL"/>
                  </w:rPr>
                  <m:t>λ</m:t>
                </m:r>
                <m:r>
                  <w:rPr>
                    <w:rFonts w:ascii="Cambria Math" w:hAnsi="Cambria Math"/>
                    <w:lang w:val="en-GB"/>
                  </w:rPr>
                  <m:t>)</m:t>
                </m:r>
                <m:r>
                  <w:rPr>
                    <w:rFonts w:ascii="Cambria Math" w:hAnsi="Cambria Math" w:cs="Cambria Math"/>
                    <w:lang w:val="en-GB"/>
                  </w:rPr>
                  <m:t>⋅M</m:t>
                </m:r>
                <m:r>
                  <w:rPr>
                    <w:rFonts w:ascii="Cambria Math" w:hAnsi="Cambria Math"/>
                    <w:lang w:val="en-GB"/>
                  </w:rPr>
                  <m:t>(</m:t>
                </m:r>
                <m:r>
                  <w:rPr>
                    <w:rFonts w:ascii="Cambria Math" w:hAnsi="Cambria Math"/>
                    <w:lang w:val="pl-PL"/>
                  </w:rPr>
                  <m:t>λ</m:t>
                </m:r>
                <m:r>
                  <w:rPr>
                    <w:rFonts w:ascii="Cambria Math" w:hAnsi="Cambria Math"/>
                    <w:lang w:val="en-GB"/>
                  </w:rPr>
                  <m:t>)</m:t>
                </m:r>
              </m:e>
            </m:nary>
          </m:num>
          <m:den>
            <m:nary>
              <m:naryPr>
                <m:ctrlPr>
                  <w:rPr>
                    <w:rFonts w:ascii="Cambria Math" w:hAnsi="Cambria Math"/>
                    <w:i/>
                    <w:lang w:val="pl-PL"/>
                  </w:rPr>
                </m:ctrlPr>
              </m:naryPr>
              <m:sub>
                <m:r>
                  <w:rPr>
                    <w:rFonts w:ascii="Cambria Math" w:hAnsi="Cambria Math"/>
                    <w:lang w:val="en-GB"/>
                  </w:rPr>
                  <m:t>380</m:t>
                </m:r>
              </m:sub>
              <m:sup>
                <m:r>
                  <w:rPr>
                    <w:rFonts w:ascii="Cambria Math" w:hAnsi="Cambria Math"/>
                    <w:lang w:val="en-GB"/>
                  </w:rPr>
                  <m:t>730</m:t>
                </m:r>
              </m:sup>
              <m:e>
                <m:r>
                  <w:rPr>
                    <w:rFonts w:ascii="Cambria Math" w:hAnsi="Cambria Math"/>
                    <w:lang w:val="pl-PL"/>
                  </w:rPr>
                  <m:t>M</m:t>
                </m:r>
                <m:r>
                  <w:rPr>
                    <w:rFonts w:ascii="Cambria Math" w:hAnsi="Cambria Math"/>
                    <w:lang w:val="en-GB"/>
                  </w:rPr>
                  <m:t>(</m:t>
                </m:r>
                <m:r>
                  <w:rPr>
                    <w:rFonts w:ascii="Cambria Math" w:hAnsi="Cambria Math"/>
                    <w:lang w:val="pl-PL"/>
                  </w:rPr>
                  <m:t>λ</m:t>
                </m:r>
                <m:r>
                  <w:rPr>
                    <w:rFonts w:ascii="Cambria Math" w:hAnsi="Cambria Math"/>
                    <w:lang w:val="en-GB"/>
                  </w:rPr>
                  <m:t>)</m:t>
                </m:r>
                <m:r>
                  <w:rPr>
                    <w:rFonts w:ascii="Cambria Math" w:hAnsi="Cambria Math" w:cs="Cambria Math"/>
                    <w:lang w:val="en-GB"/>
                  </w:rPr>
                  <m:t>⋅</m:t>
                </m:r>
                <m:r>
                  <w:rPr>
                    <w:rFonts w:ascii="Cambria Math" w:hAnsi="Cambria Math"/>
                    <w:lang w:val="pl-PL"/>
                  </w:rPr>
                  <m:t>D</m:t>
                </m:r>
                <m:r>
                  <w:rPr>
                    <w:rFonts w:ascii="Cambria Math" w:hAnsi="Cambria Math"/>
                    <w:lang w:val="en-GB"/>
                  </w:rPr>
                  <m:t>65(</m:t>
                </m:r>
                <m:r>
                  <w:rPr>
                    <w:rFonts w:ascii="Cambria Math" w:hAnsi="Cambria Math"/>
                    <w:lang w:val="pl-PL"/>
                  </w:rPr>
                  <m:t>λ</m:t>
                </m:r>
                <m:r>
                  <w:rPr>
                    <w:rFonts w:ascii="Cambria Math" w:hAnsi="Cambria Math"/>
                    <w:lang w:val="en-GB"/>
                  </w:rPr>
                  <m:t>)</m:t>
                </m:r>
              </m:e>
            </m:nary>
          </m:den>
        </m:f>
        <m:r>
          <w:rPr>
            <w:rFonts w:ascii="Cambria Math" w:hAnsi="Cambria Math"/>
            <w:lang w:val="en-GB"/>
          </w:rPr>
          <m:t xml:space="preserve"> </m:t>
        </m:r>
      </m:oMath>
      <w:r>
        <w:rPr>
          <w:lang w:val="en-GB"/>
        </w:rPr>
        <w:tab/>
      </w:r>
      <w:r w:rsidRPr="00F9469D">
        <w:rPr>
          <w:sz w:val="20"/>
          <w:lang w:val="en-GB"/>
        </w:rPr>
        <w:t>(1)</w:t>
      </w:r>
    </w:p>
    <w:p w:rsidR="00410770" w:rsidRPr="00AC1840" w:rsidRDefault="00410770" w:rsidP="00AF2354">
      <w:pPr>
        <w:pStyle w:val="Wcicienormalne"/>
      </w:pPr>
    </w:p>
    <w:p w:rsidR="00AC1840" w:rsidRDefault="001D025C" w:rsidP="00AF2354">
      <w:pPr>
        <w:pStyle w:val="Wcicienormalne"/>
      </w:pPr>
      <w:r>
        <w:rPr>
          <w:noProof/>
          <w:lang w:val="pl-PL"/>
        </w:rPr>
        <w:drawing>
          <wp:inline distT="0" distB="0" distL="0" distR="0" wp14:anchorId="40DF6ECC" wp14:editId="46274E4E">
            <wp:extent cx="2968625" cy="1557655"/>
            <wp:effectExtent l="0" t="0" r="3175"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68625" cy="1557655"/>
                    </a:xfrm>
                    <a:prstGeom prst="rect">
                      <a:avLst/>
                    </a:prstGeom>
                  </pic:spPr>
                </pic:pic>
              </a:graphicData>
            </a:graphic>
          </wp:inline>
        </w:drawing>
      </w:r>
    </w:p>
    <w:p w:rsidR="00181003" w:rsidRDefault="00181003" w:rsidP="00181003">
      <w:pPr>
        <w:pStyle w:val="Figdescription"/>
        <w:rPr>
          <w:i w:val="0"/>
          <w:sz w:val="16"/>
          <w:szCs w:val="16"/>
        </w:rPr>
      </w:pPr>
      <w:r w:rsidRPr="00F4515B">
        <w:rPr>
          <w:i w:val="0"/>
          <w:sz w:val="16"/>
          <w:szCs w:val="16"/>
        </w:rPr>
        <w:t>Fig</w:t>
      </w:r>
      <w:r>
        <w:rPr>
          <w:i w:val="0"/>
          <w:sz w:val="16"/>
          <w:szCs w:val="16"/>
        </w:rPr>
        <w:t>.</w:t>
      </w:r>
      <w:r w:rsidRPr="00F4515B">
        <w:rPr>
          <w:i w:val="0"/>
          <w:sz w:val="16"/>
          <w:szCs w:val="16"/>
        </w:rPr>
        <w:t xml:space="preserve"> 1. </w:t>
      </w:r>
      <w:r>
        <w:rPr>
          <w:i w:val="0"/>
          <w:sz w:val="16"/>
          <w:szCs w:val="16"/>
        </w:rPr>
        <w:t xml:space="preserve">Spectral power distribution of illuminant D65, </w:t>
      </w:r>
      <w:r w:rsidR="005B33B7">
        <w:rPr>
          <w:i w:val="0"/>
          <w:sz w:val="16"/>
          <w:szCs w:val="16"/>
        </w:rPr>
        <w:t>melatonin suppression function</w:t>
      </w:r>
      <w:r>
        <w:rPr>
          <w:i w:val="0"/>
          <w:sz w:val="16"/>
          <w:szCs w:val="16"/>
        </w:rPr>
        <w:t xml:space="preserve"> and human eye </w:t>
      </w:r>
      <w:r w:rsidR="005B33B7">
        <w:rPr>
          <w:i w:val="0"/>
          <w:sz w:val="16"/>
          <w:szCs w:val="16"/>
        </w:rPr>
        <w:t>sensitivity</w:t>
      </w:r>
      <w:r w:rsidRPr="00E775AA">
        <w:rPr>
          <w:i w:val="0"/>
          <w:sz w:val="16"/>
          <w:szCs w:val="16"/>
        </w:rPr>
        <w:t xml:space="preserve"> </w:t>
      </w:r>
    </w:p>
    <w:p w:rsidR="00181003" w:rsidRDefault="0064026C" w:rsidP="00AF2354">
      <w:pPr>
        <w:pStyle w:val="Wcicienormalne"/>
      </w:pPr>
      <w:r>
        <w:t xml:space="preserve">As much as MSI is well accepted index, CIE in </w:t>
      </w:r>
      <w:r w:rsidR="001E6329">
        <w:t xml:space="preserve">their </w:t>
      </w:r>
      <w:r>
        <w:t xml:space="preserve">latest publications recommends to use the most primary </w:t>
      </w:r>
      <w:r w:rsidR="001E6329">
        <w:t xml:space="preserve">response of human body for blue light </w:t>
      </w:r>
      <w:r w:rsidR="00ED0DC9">
        <w:t>stimulation</w:t>
      </w:r>
      <w:r w:rsidR="006D0886">
        <w:t xml:space="preserve"> </w:t>
      </w:r>
      <w:r w:rsidR="00E8045F" w:rsidRPr="00E8045F">
        <w:t>[1</w:t>
      </w:r>
      <w:r w:rsidR="009A031B">
        <w:t>2</w:t>
      </w:r>
      <w:r w:rsidR="006D0886" w:rsidRPr="00E8045F">
        <w:t>].</w:t>
      </w:r>
      <w:r w:rsidR="006D0886">
        <w:t xml:space="preserve"> M</w:t>
      </w:r>
      <w:r w:rsidR="0003236B">
        <w:t xml:space="preserve">elanopic sensitivity </w:t>
      </w:r>
      <w:r w:rsidR="0034146A">
        <w:t>curve</w:t>
      </w:r>
      <w:r w:rsidR="006D0886">
        <w:t xml:space="preserve">, </w:t>
      </w:r>
      <w:r w:rsidR="0034146A">
        <w:t xml:space="preserve">represents </w:t>
      </w:r>
      <w:r w:rsidR="006D0886">
        <w:t>response</w:t>
      </w:r>
      <w:r w:rsidR="0034146A">
        <w:t xml:space="preserve"> of phot</w:t>
      </w:r>
      <w:r w:rsidR="00E124B6">
        <w:t>o</w:t>
      </w:r>
      <w:r w:rsidR="0034146A">
        <w:t xml:space="preserve"> pigment, which is contained in ipRGC </w:t>
      </w:r>
      <w:r w:rsidR="0003236B">
        <w:t>(</w:t>
      </w:r>
      <w:r w:rsidR="0003236B" w:rsidRPr="003B0367">
        <w:t xml:space="preserve">see </w:t>
      </w:r>
      <w:r w:rsidR="00F1744E" w:rsidRPr="003B0367">
        <w:t>F</w:t>
      </w:r>
      <w:r w:rsidR="0003236B" w:rsidRPr="003B0367">
        <w:t>ig. 1</w:t>
      </w:r>
      <w:r w:rsidR="00E124B6">
        <w:t>). F</w:t>
      </w:r>
      <w:r w:rsidR="00FC5D7A" w:rsidRPr="003B0367">
        <w:t>ormula 2</w:t>
      </w:r>
      <w:r w:rsidR="00E124B6">
        <w:t xml:space="preserve"> convolves melanopic irradiance (E</w:t>
      </w:r>
      <w:r w:rsidR="00E124B6">
        <w:rPr>
          <w:vertAlign w:val="subscript"/>
        </w:rPr>
        <w:t>mel</w:t>
      </w:r>
      <w:r w:rsidR="00E124B6">
        <w:t>) with SPD of light source S(λ), then multiplied by relevant constant K</w:t>
      </w:r>
      <w:r w:rsidR="00E124B6">
        <w:rPr>
          <w:vertAlign w:val="subscript"/>
        </w:rPr>
        <w:t>N</w:t>
      </w:r>
      <w:r w:rsidR="00E124B6">
        <w:t>.</w:t>
      </w:r>
      <w:r w:rsidR="006D0886">
        <w:t xml:space="preserve"> </w:t>
      </w:r>
      <w:r w:rsidR="00E124B6">
        <w:t>Result</w:t>
      </w:r>
      <w:r w:rsidR="00ED0DC9">
        <w:t xml:space="preserve"> should be expressed in radiometric units with relevant comment about weighting function (in this case: melanopic fux or melanopic irradiance).</w:t>
      </w:r>
    </w:p>
    <w:p w:rsidR="00785E28" w:rsidRDefault="00785E28" w:rsidP="00AF2354">
      <w:pPr>
        <w:pStyle w:val="Wcicienormalne"/>
      </w:pPr>
    </w:p>
    <w:p w:rsidR="00FC5D7A" w:rsidRPr="00E124B6" w:rsidRDefault="00F1744E" w:rsidP="00E124B6">
      <w:pPr>
        <w:pStyle w:val="equation0"/>
        <w:tabs>
          <w:tab w:val="clear" w:pos="4536"/>
          <w:tab w:val="center" w:pos="2268"/>
          <w:tab w:val="right" w:pos="4675"/>
        </w:tabs>
        <w:spacing w:before="60" w:after="60" w:line="240" w:lineRule="auto"/>
        <w:rPr>
          <w:sz w:val="20"/>
          <w:lang w:val="en-GB"/>
        </w:rPr>
      </w:pPr>
      <w:r>
        <w:rPr>
          <w:sz w:val="20"/>
          <w:lang w:val="en-GB"/>
        </w:rPr>
        <w:tab/>
      </w:r>
      <m:oMath>
        <m:sSub>
          <m:sSubPr>
            <m:ctrlPr>
              <w:rPr>
                <w:rFonts w:ascii="Cambria Math" w:hAnsi="Cambria Math"/>
                <w:i/>
                <w:lang w:val="en-US"/>
              </w:rPr>
            </m:ctrlPr>
          </m:sSubPr>
          <m:e>
            <m:r>
              <w:rPr>
                <w:rFonts w:ascii="Cambria Math"/>
                <w:lang w:val="en-US"/>
              </w:rPr>
              <m:t>E</m:t>
            </m:r>
          </m:e>
          <m:sub>
            <m:r>
              <w:rPr>
                <w:rFonts w:ascii="Cambria Math"/>
                <w:lang w:val="en-US"/>
              </w:rPr>
              <m:t>e,</m:t>
            </m:r>
            <m:r>
              <w:rPr>
                <w:rFonts w:ascii="Cambria Math" w:hAnsi="Cambria Math"/>
                <w:lang w:val="en-US"/>
              </w:rPr>
              <m:t>α</m:t>
            </m:r>
          </m:sub>
        </m:sSub>
        <m:r>
          <w:rPr>
            <w:rFonts w:ascii="Cambria Math"/>
            <w:lang w:val="en-US"/>
          </w:rPr>
          <m:t>=</m:t>
        </m:r>
        <m:nary>
          <m:naryPr>
            <m:ctrlPr>
              <w:rPr>
                <w:rFonts w:ascii="Cambria Math" w:hAnsi="Cambria Math"/>
                <w:i/>
                <w:lang w:val="en-US"/>
              </w:rPr>
            </m:ctrlPr>
          </m:naryPr>
          <m:sub>
            <m:r>
              <w:rPr>
                <w:rFonts w:ascii="Cambria Math" w:hAnsi="Cambria Math"/>
                <w:lang w:val="en-US"/>
              </w:rPr>
              <m:t>380</m:t>
            </m:r>
          </m:sub>
          <m:sup>
            <m:r>
              <w:rPr>
                <w:rFonts w:ascii="Cambria Math" w:hAnsi="Cambria Math"/>
                <w:lang w:val="en-US"/>
              </w:rPr>
              <m:t>780</m:t>
            </m:r>
          </m:sup>
          <m:e>
            <m:sSub>
              <m:sSubPr>
                <m:ctrlPr>
                  <w:rPr>
                    <w:rFonts w:ascii="Cambria Math" w:hAnsi="Cambria Math"/>
                    <w:i/>
                    <w:lang w:val="en-US"/>
                  </w:rPr>
                </m:ctrlPr>
              </m:sSubPr>
              <m:e>
                <m:r>
                  <w:rPr>
                    <w:rFonts w:ascii="Cambria Math"/>
                    <w:lang w:val="en-US"/>
                  </w:rPr>
                  <m:t>E</m:t>
                </m:r>
              </m:e>
              <m:sub>
                <m:r>
                  <w:rPr>
                    <w:rFonts w:ascii="Cambria Math"/>
                    <w:lang w:val="en-US"/>
                  </w:rPr>
                  <m:t>Mel</m:t>
                </m:r>
              </m:sub>
            </m:sSub>
            <m:d>
              <m:dPr>
                <m:ctrlPr>
                  <w:rPr>
                    <w:rFonts w:ascii="Cambria Math" w:hAnsi="Cambria Math"/>
                    <w:i/>
                    <w:lang w:val="en-US"/>
                  </w:rPr>
                </m:ctrlPr>
              </m:dPr>
              <m:e>
                <m:r>
                  <w:rPr>
                    <w:rFonts w:ascii="Cambria Math"/>
                    <w:lang w:val="en-US"/>
                  </w:rPr>
                  <m:t>λ</m:t>
                </m:r>
              </m:e>
            </m:d>
            <m:r>
              <w:rPr>
                <w:rFonts w:ascii="Cambria Math" w:hAnsi="Cambria Math" w:cs="Cambria Math"/>
                <w:lang w:val="en-US"/>
              </w:rPr>
              <m:t>⋅</m:t>
            </m:r>
            <m:r>
              <w:rPr>
                <w:rFonts w:ascii="Cambria Math"/>
                <w:lang w:val="en-US"/>
              </w:rPr>
              <m:t>S</m:t>
            </m:r>
            <m:d>
              <m:dPr>
                <m:ctrlPr>
                  <w:rPr>
                    <w:rFonts w:ascii="Cambria Math" w:hAnsi="Cambria Math"/>
                    <w:i/>
                    <w:lang w:val="en-US"/>
                  </w:rPr>
                </m:ctrlPr>
              </m:dPr>
              <m:e>
                <m:r>
                  <w:rPr>
                    <w:rFonts w:ascii="Cambria Math"/>
                    <w:lang w:val="en-US"/>
                  </w:rPr>
                  <m:t>λ</m:t>
                </m:r>
              </m:e>
            </m:d>
            <m:r>
              <w:rPr>
                <w:rFonts w:ascii="Cambria Math"/>
                <w:lang w:val="en-US"/>
              </w:rPr>
              <m:t>d</m:t>
            </m:r>
            <m:d>
              <m:dPr>
                <m:ctrlPr>
                  <w:rPr>
                    <w:rFonts w:ascii="Cambria Math" w:hAnsi="Cambria Math"/>
                    <w:i/>
                    <w:lang w:val="en-US"/>
                  </w:rPr>
                </m:ctrlPr>
              </m:dPr>
              <m:e>
                <m:r>
                  <w:rPr>
                    <w:rFonts w:ascii="Cambria Math"/>
                    <w:lang w:val="en-US"/>
                  </w:rPr>
                  <m:t>λ</m:t>
                </m:r>
              </m:e>
            </m:d>
          </m:e>
        </m:nary>
        <m:r>
          <w:rPr>
            <w:rFonts w:ascii="Cambria Math" w:hAnsi="Cambria Math"/>
            <w:lang w:val="en-GB"/>
          </w:rPr>
          <m:t xml:space="preserve"> </m:t>
        </m:r>
      </m:oMath>
      <w:r>
        <w:rPr>
          <w:lang w:val="en-GB"/>
        </w:rPr>
        <w:tab/>
      </w:r>
      <w:r w:rsidRPr="00F9469D">
        <w:rPr>
          <w:sz w:val="20"/>
          <w:lang w:val="en-GB"/>
        </w:rPr>
        <w:t>(</w:t>
      </w:r>
      <w:r>
        <w:rPr>
          <w:sz w:val="20"/>
          <w:lang w:val="en-GB"/>
        </w:rPr>
        <w:t>2</w:t>
      </w:r>
      <w:r w:rsidRPr="00F9469D">
        <w:rPr>
          <w:sz w:val="20"/>
          <w:lang w:val="en-GB"/>
        </w:rPr>
        <w:t>)</w:t>
      </w:r>
    </w:p>
    <w:p w:rsidR="003B0367" w:rsidRDefault="00FC5D7A" w:rsidP="00FC5D7A">
      <w:pPr>
        <w:pStyle w:val="Wcicienormalne"/>
      </w:pPr>
      <w:r>
        <w:lastRenderedPageBreak/>
        <w:t xml:space="preserve">The </w:t>
      </w:r>
      <w:r w:rsidR="003B0367">
        <w:t>typical</w:t>
      </w:r>
      <w:r>
        <w:t xml:space="preserve"> spectral power distributions</w:t>
      </w:r>
      <w:r w:rsidR="005533FB">
        <w:t xml:space="preserve"> SPDs</w:t>
      </w:r>
      <w:r>
        <w:t xml:space="preserve"> for representative LEDs of given </w:t>
      </w:r>
      <w:r w:rsidR="005533FB">
        <w:t xml:space="preserve">correlated color temperature </w:t>
      </w:r>
      <w:r>
        <w:t xml:space="preserve">CCT were presented on </w:t>
      </w:r>
      <w:r w:rsidR="004E19FB">
        <w:t>F</w:t>
      </w:r>
      <w:r>
        <w:t>ig. 2</w:t>
      </w:r>
      <w:r w:rsidR="005533FB">
        <w:t>, and their colorimetric parameters are described in Table 1</w:t>
      </w:r>
      <w:r w:rsidR="003B0367">
        <w:t xml:space="preserve"> and Table 2</w:t>
      </w:r>
      <w:r w:rsidR="005533FB">
        <w:t xml:space="preserve">. </w:t>
      </w:r>
    </w:p>
    <w:p w:rsidR="005F0F55" w:rsidRDefault="005F0F55" w:rsidP="00FC5D7A">
      <w:pPr>
        <w:pStyle w:val="Wcicienormalne"/>
      </w:pPr>
    </w:p>
    <w:p w:rsidR="005F0F55" w:rsidRDefault="001D025C" w:rsidP="005F0F55">
      <w:pPr>
        <w:pStyle w:val="Wcicienormalne"/>
      </w:pPr>
      <w:r>
        <w:rPr>
          <w:noProof/>
          <w:lang w:val="pl-PL"/>
        </w:rPr>
        <w:drawing>
          <wp:inline distT="0" distB="0" distL="0" distR="0" wp14:anchorId="68753CEB" wp14:editId="5A37A8C1">
            <wp:extent cx="2968625" cy="1503680"/>
            <wp:effectExtent l="0" t="0" r="3175" b="127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68625" cy="1503680"/>
                    </a:xfrm>
                    <a:prstGeom prst="rect">
                      <a:avLst/>
                    </a:prstGeom>
                  </pic:spPr>
                </pic:pic>
              </a:graphicData>
            </a:graphic>
          </wp:inline>
        </w:drawing>
      </w:r>
    </w:p>
    <w:p w:rsidR="003D7EFB" w:rsidRDefault="005F0F55" w:rsidP="004337B1">
      <w:pPr>
        <w:pStyle w:val="Figdescription"/>
        <w:rPr>
          <w:i w:val="0"/>
          <w:sz w:val="16"/>
          <w:szCs w:val="16"/>
        </w:rPr>
      </w:pPr>
      <w:r w:rsidRPr="00F4515B">
        <w:rPr>
          <w:i w:val="0"/>
          <w:sz w:val="16"/>
          <w:szCs w:val="16"/>
        </w:rPr>
        <w:t>Fig</w:t>
      </w:r>
      <w:r>
        <w:rPr>
          <w:i w:val="0"/>
          <w:sz w:val="16"/>
          <w:szCs w:val="16"/>
        </w:rPr>
        <w:t>.</w:t>
      </w:r>
      <w:r w:rsidRPr="00F4515B">
        <w:rPr>
          <w:i w:val="0"/>
          <w:sz w:val="16"/>
          <w:szCs w:val="16"/>
        </w:rPr>
        <w:t xml:space="preserve"> </w:t>
      </w:r>
      <w:r>
        <w:rPr>
          <w:i w:val="0"/>
          <w:sz w:val="16"/>
          <w:szCs w:val="16"/>
        </w:rPr>
        <w:t>2</w:t>
      </w:r>
      <w:r w:rsidRPr="00F4515B">
        <w:rPr>
          <w:i w:val="0"/>
          <w:sz w:val="16"/>
          <w:szCs w:val="16"/>
        </w:rPr>
        <w:t xml:space="preserve">. </w:t>
      </w:r>
      <w:r>
        <w:rPr>
          <w:i w:val="0"/>
          <w:sz w:val="16"/>
          <w:szCs w:val="16"/>
        </w:rPr>
        <w:t>The SPDs of  standard white representative LEDs</w:t>
      </w:r>
    </w:p>
    <w:p w:rsidR="0066723A" w:rsidRDefault="0066723A" w:rsidP="0066723A">
      <w:pPr>
        <w:pStyle w:val="Figdescription"/>
        <w:spacing w:after="0"/>
        <w:rPr>
          <w:i w:val="0"/>
          <w:sz w:val="16"/>
          <w:szCs w:val="16"/>
        </w:rPr>
      </w:pPr>
      <w:r>
        <w:rPr>
          <w:i w:val="0"/>
          <w:sz w:val="16"/>
          <w:szCs w:val="16"/>
        </w:rPr>
        <w:t xml:space="preserve">Table 1. </w:t>
      </w:r>
      <w:r w:rsidR="003B0367">
        <w:rPr>
          <w:i w:val="0"/>
          <w:sz w:val="16"/>
          <w:szCs w:val="16"/>
        </w:rPr>
        <w:t xml:space="preserve">The </w:t>
      </w:r>
      <w:r w:rsidR="003B0367" w:rsidRPr="003B0367">
        <w:rPr>
          <w:i w:val="0"/>
          <w:sz w:val="16"/>
          <w:szCs w:val="16"/>
        </w:rPr>
        <w:t>colorimetric parameters</w:t>
      </w:r>
      <w:r w:rsidR="003B0367">
        <w:rPr>
          <w:i w:val="0"/>
          <w:sz w:val="16"/>
          <w:szCs w:val="16"/>
        </w:rPr>
        <w:t xml:space="preserve"> of typical LEDs presented in the market</w:t>
      </w:r>
    </w:p>
    <w:tbl>
      <w:tblPr>
        <w:tblStyle w:val="Tabela-Siatka"/>
        <w:tblW w:w="0" w:type="auto"/>
        <w:jc w:val="center"/>
        <w:tblLook w:val="04A0" w:firstRow="1" w:lastRow="0" w:firstColumn="1" w:lastColumn="0" w:noHBand="0" w:noVBand="1"/>
      </w:tblPr>
      <w:tblGrid>
        <w:gridCol w:w="608"/>
        <w:gridCol w:w="736"/>
        <w:gridCol w:w="776"/>
        <w:gridCol w:w="736"/>
        <w:gridCol w:w="776"/>
      </w:tblGrid>
      <w:tr w:rsidR="00957114" w:rsidRPr="00143BA6" w:rsidTr="00957114">
        <w:trPr>
          <w:jc w:val="center"/>
        </w:trPr>
        <w:tc>
          <w:tcPr>
            <w:tcW w:w="608" w:type="dxa"/>
            <w:shd w:val="pct10" w:color="auto" w:fill="auto"/>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SPD</w:t>
            </w:r>
          </w:p>
        </w:tc>
        <w:tc>
          <w:tcPr>
            <w:tcW w:w="3024" w:type="dxa"/>
            <w:gridSpan w:val="4"/>
            <w:shd w:val="pct10" w:color="auto" w:fill="auto"/>
          </w:tcPr>
          <w:p w:rsidR="00957114" w:rsidRPr="00143BA6" w:rsidRDefault="003B0367" w:rsidP="00E412D5">
            <w:pPr>
              <w:jc w:val="center"/>
              <w:rPr>
                <w:rFonts w:ascii="Times New Roman" w:hAnsi="Times New Roman" w:cs="Times New Roman"/>
                <w:sz w:val="16"/>
                <w:szCs w:val="16"/>
              </w:rPr>
            </w:pPr>
            <w:r>
              <w:rPr>
                <w:rFonts w:ascii="Times New Roman" w:hAnsi="Times New Roman" w:cs="Times New Roman"/>
                <w:sz w:val="16"/>
                <w:szCs w:val="16"/>
              </w:rPr>
              <w:t>Typical LEDs</w:t>
            </w:r>
          </w:p>
        </w:tc>
      </w:tr>
      <w:tr w:rsidR="00957114" w:rsidRPr="00143BA6" w:rsidTr="00957114">
        <w:trPr>
          <w:jc w:val="center"/>
        </w:trPr>
        <w:tc>
          <w:tcPr>
            <w:tcW w:w="608" w:type="dxa"/>
            <w:tcBorders>
              <w:bottom w:val="single" w:sz="4" w:space="0" w:color="auto"/>
            </w:tcBorders>
            <w:shd w:val="pct10" w:color="auto" w:fill="auto"/>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CCT</w:t>
            </w:r>
          </w:p>
        </w:tc>
        <w:tc>
          <w:tcPr>
            <w:tcW w:w="736" w:type="dxa"/>
            <w:shd w:val="pct10" w:color="auto" w:fill="auto"/>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2700K</w:t>
            </w:r>
          </w:p>
        </w:tc>
        <w:tc>
          <w:tcPr>
            <w:tcW w:w="776" w:type="dxa"/>
            <w:shd w:val="pct10" w:color="auto" w:fill="auto"/>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3000K</w:t>
            </w:r>
          </w:p>
        </w:tc>
        <w:tc>
          <w:tcPr>
            <w:tcW w:w="736" w:type="dxa"/>
            <w:shd w:val="pct10" w:color="auto" w:fill="auto"/>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3500K</w:t>
            </w:r>
          </w:p>
        </w:tc>
        <w:tc>
          <w:tcPr>
            <w:tcW w:w="776" w:type="dxa"/>
            <w:shd w:val="pct10" w:color="auto" w:fill="auto"/>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4000K</w:t>
            </w:r>
          </w:p>
        </w:tc>
      </w:tr>
      <w:tr w:rsidR="00957114" w:rsidRPr="00143BA6" w:rsidTr="00957114">
        <w:trPr>
          <w:jc w:val="center"/>
        </w:trPr>
        <w:tc>
          <w:tcPr>
            <w:tcW w:w="608" w:type="dxa"/>
            <w:shd w:val="pct10" w:color="auto" w:fill="auto"/>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x</w:t>
            </w:r>
          </w:p>
        </w:tc>
        <w:tc>
          <w:tcPr>
            <w:tcW w:w="73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0.4546</w:t>
            </w:r>
          </w:p>
        </w:tc>
        <w:tc>
          <w:tcPr>
            <w:tcW w:w="77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0.4353</w:t>
            </w:r>
          </w:p>
        </w:tc>
        <w:tc>
          <w:tcPr>
            <w:tcW w:w="73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0.4171</w:t>
            </w:r>
          </w:p>
        </w:tc>
        <w:tc>
          <w:tcPr>
            <w:tcW w:w="77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0.3754</w:t>
            </w:r>
            <w:r w:rsidRPr="00143BA6">
              <w:rPr>
                <w:rFonts w:ascii="Times New Roman" w:hAnsi="Times New Roman" w:cs="Times New Roman"/>
                <w:sz w:val="16"/>
                <w:szCs w:val="16"/>
              </w:rPr>
              <w:t xml:space="preserve"> </w:t>
            </w:r>
          </w:p>
        </w:tc>
      </w:tr>
      <w:tr w:rsidR="00957114" w:rsidRPr="00143BA6" w:rsidTr="00957114">
        <w:trPr>
          <w:jc w:val="center"/>
        </w:trPr>
        <w:tc>
          <w:tcPr>
            <w:tcW w:w="608" w:type="dxa"/>
            <w:shd w:val="pct10" w:color="auto" w:fill="auto"/>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y</w:t>
            </w:r>
          </w:p>
        </w:tc>
        <w:tc>
          <w:tcPr>
            <w:tcW w:w="73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0.4085</w:t>
            </w:r>
          </w:p>
        </w:tc>
        <w:tc>
          <w:tcPr>
            <w:tcW w:w="77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0.4018</w:t>
            </w:r>
          </w:p>
        </w:tc>
        <w:tc>
          <w:tcPr>
            <w:tcW w:w="73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0.3961</w:t>
            </w:r>
          </w:p>
        </w:tc>
        <w:tc>
          <w:tcPr>
            <w:tcW w:w="77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0.3728</w:t>
            </w:r>
            <w:r w:rsidRPr="00143BA6">
              <w:rPr>
                <w:rFonts w:ascii="Times New Roman" w:hAnsi="Times New Roman" w:cs="Times New Roman"/>
                <w:sz w:val="16"/>
                <w:szCs w:val="16"/>
              </w:rPr>
              <w:t xml:space="preserve"> </w:t>
            </w:r>
          </w:p>
        </w:tc>
      </w:tr>
      <w:tr w:rsidR="00957114" w:rsidRPr="00143BA6" w:rsidTr="00957114">
        <w:trPr>
          <w:jc w:val="center"/>
        </w:trPr>
        <w:tc>
          <w:tcPr>
            <w:tcW w:w="608" w:type="dxa"/>
            <w:shd w:val="pct10" w:color="auto" w:fill="auto"/>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u’</w:t>
            </w:r>
          </w:p>
        </w:tc>
        <w:tc>
          <w:tcPr>
            <w:tcW w:w="73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0.2600</w:t>
            </w:r>
          </w:p>
        </w:tc>
        <w:tc>
          <w:tcPr>
            <w:tcW w:w="77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0.2504</w:t>
            </w:r>
          </w:p>
        </w:tc>
        <w:tc>
          <w:tcPr>
            <w:tcW w:w="73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0.2411</w:t>
            </w:r>
          </w:p>
        </w:tc>
        <w:tc>
          <w:tcPr>
            <w:tcW w:w="77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0.2234</w:t>
            </w:r>
            <w:r w:rsidRPr="00143BA6">
              <w:rPr>
                <w:rFonts w:ascii="Times New Roman" w:hAnsi="Times New Roman" w:cs="Times New Roman"/>
                <w:sz w:val="16"/>
                <w:szCs w:val="16"/>
              </w:rPr>
              <w:t xml:space="preserve"> </w:t>
            </w:r>
          </w:p>
        </w:tc>
      </w:tr>
      <w:tr w:rsidR="00957114" w:rsidRPr="00143BA6" w:rsidTr="00957114">
        <w:trPr>
          <w:jc w:val="center"/>
        </w:trPr>
        <w:tc>
          <w:tcPr>
            <w:tcW w:w="608" w:type="dxa"/>
            <w:shd w:val="pct10" w:color="auto" w:fill="auto"/>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v’</w:t>
            </w:r>
          </w:p>
        </w:tc>
        <w:tc>
          <w:tcPr>
            <w:tcW w:w="73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0.5257</w:t>
            </w:r>
          </w:p>
        </w:tc>
        <w:tc>
          <w:tcPr>
            <w:tcW w:w="77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0.5203</w:t>
            </w:r>
            <w:r w:rsidRPr="00143BA6">
              <w:rPr>
                <w:rFonts w:ascii="Times New Roman" w:hAnsi="Times New Roman" w:cs="Times New Roman"/>
                <w:sz w:val="16"/>
                <w:szCs w:val="16"/>
              </w:rPr>
              <w:t xml:space="preserve"> </w:t>
            </w:r>
          </w:p>
        </w:tc>
        <w:tc>
          <w:tcPr>
            <w:tcW w:w="73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0.5152</w:t>
            </w:r>
          </w:p>
        </w:tc>
        <w:tc>
          <w:tcPr>
            <w:tcW w:w="77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0.4991</w:t>
            </w:r>
            <w:r w:rsidRPr="00143BA6">
              <w:rPr>
                <w:rFonts w:ascii="Times New Roman" w:hAnsi="Times New Roman" w:cs="Times New Roman"/>
                <w:sz w:val="16"/>
                <w:szCs w:val="16"/>
              </w:rPr>
              <w:t xml:space="preserve"> </w:t>
            </w:r>
          </w:p>
        </w:tc>
      </w:tr>
      <w:tr w:rsidR="00957114" w:rsidRPr="00143BA6" w:rsidTr="00957114">
        <w:trPr>
          <w:jc w:val="center"/>
        </w:trPr>
        <w:tc>
          <w:tcPr>
            <w:tcW w:w="608" w:type="dxa"/>
            <w:shd w:val="pct10" w:color="auto" w:fill="auto"/>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CRI</w:t>
            </w:r>
          </w:p>
        </w:tc>
        <w:tc>
          <w:tcPr>
            <w:tcW w:w="736" w:type="dxa"/>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81</w:t>
            </w:r>
          </w:p>
        </w:tc>
        <w:tc>
          <w:tcPr>
            <w:tcW w:w="776" w:type="dxa"/>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83</w:t>
            </w:r>
          </w:p>
        </w:tc>
        <w:tc>
          <w:tcPr>
            <w:tcW w:w="736" w:type="dxa"/>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80</w:t>
            </w:r>
          </w:p>
        </w:tc>
        <w:tc>
          <w:tcPr>
            <w:tcW w:w="776" w:type="dxa"/>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84</w:t>
            </w:r>
          </w:p>
        </w:tc>
      </w:tr>
    </w:tbl>
    <w:p w:rsidR="0066723A" w:rsidRDefault="0066723A" w:rsidP="0066723A">
      <w:pPr>
        <w:pStyle w:val="Figdescription"/>
        <w:spacing w:before="100" w:beforeAutospacing="1" w:after="0"/>
        <w:rPr>
          <w:i w:val="0"/>
          <w:sz w:val="16"/>
          <w:szCs w:val="16"/>
        </w:rPr>
      </w:pPr>
      <w:r>
        <w:rPr>
          <w:i w:val="0"/>
          <w:sz w:val="16"/>
          <w:szCs w:val="16"/>
        </w:rPr>
        <w:t xml:space="preserve">Table 2. </w:t>
      </w:r>
      <w:r w:rsidR="003B0367">
        <w:rPr>
          <w:i w:val="0"/>
          <w:sz w:val="16"/>
          <w:szCs w:val="16"/>
        </w:rPr>
        <w:t xml:space="preserve">The </w:t>
      </w:r>
      <w:r w:rsidR="003B0367" w:rsidRPr="003B0367">
        <w:rPr>
          <w:i w:val="0"/>
          <w:sz w:val="16"/>
          <w:szCs w:val="16"/>
        </w:rPr>
        <w:t>colorimetric parameters</w:t>
      </w:r>
      <w:r w:rsidR="003B0367">
        <w:rPr>
          <w:i w:val="0"/>
          <w:sz w:val="16"/>
          <w:szCs w:val="16"/>
        </w:rPr>
        <w:t xml:space="preserve"> of typical LEDs presented in the market</w:t>
      </w:r>
    </w:p>
    <w:tbl>
      <w:tblPr>
        <w:tblStyle w:val="Tabela-Siatka"/>
        <w:tblW w:w="0" w:type="auto"/>
        <w:jc w:val="center"/>
        <w:tblLook w:val="04A0" w:firstRow="1" w:lastRow="0" w:firstColumn="1" w:lastColumn="0" w:noHBand="0" w:noVBand="1"/>
      </w:tblPr>
      <w:tblGrid>
        <w:gridCol w:w="608"/>
        <w:gridCol w:w="736"/>
        <w:gridCol w:w="736"/>
        <w:gridCol w:w="736"/>
        <w:gridCol w:w="776"/>
      </w:tblGrid>
      <w:tr w:rsidR="00957114" w:rsidRPr="00143BA6" w:rsidTr="00957114">
        <w:trPr>
          <w:jc w:val="center"/>
        </w:trPr>
        <w:tc>
          <w:tcPr>
            <w:tcW w:w="608" w:type="dxa"/>
            <w:shd w:val="pct10" w:color="auto" w:fill="auto"/>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SPD</w:t>
            </w:r>
          </w:p>
        </w:tc>
        <w:tc>
          <w:tcPr>
            <w:tcW w:w="2984" w:type="dxa"/>
            <w:gridSpan w:val="4"/>
            <w:shd w:val="pct10" w:color="auto" w:fill="auto"/>
          </w:tcPr>
          <w:p w:rsidR="00957114" w:rsidRPr="00143BA6" w:rsidRDefault="003B0367" w:rsidP="00E412D5">
            <w:pPr>
              <w:jc w:val="center"/>
              <w:rPr>
                <w:rFonts w:ascii="Times New Roman" w:hAnsi="Times New Roman" w:cs="Times New Roman"/>
                <w:sz w:val="16"/>
                <w:szCs w:val="16"/>
              </w:rPr>
            </w:pPr>
            <w:r>
              <w:rPr>
                <w:rFonts w:ascii="Times New Roman" w:hAnsi="Times New Roman" w:cs="Times New Roman"/>
                <w:sz w:val="16"/>
                <w:szCs w:val="16"/>
              </w:rPr>
              <w:t>Typical LEDs</w:t>
            </w:r>
          </w:p>
        </w:tc>
      </w:tr>
      <w:tr w:rsidR="00957114" w:rsidRPr="00143BA6" w:rsidTr="00957114">
        <w:trPr>
          <w:jc w:val="center"/>
        </w:trPr>
        <w:tc>
          <w:tcPr>
            <w:tcW w:w="608" w:type="dxa"/>
            <w:tcBorders>
              <w:bottom w:val="single" w:sz="4" w:space="0" w:color="auto"/>
            </w:tcBorders>
            <w:shd w:val="pct10" w:color="auto" w:fill="auto"/>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CCT</w:t>
            </w:r>
          </w:p>
        </w:tc>
        <w:tc>
          <w:tcPr>
            <w:tcW w:w="736" w:type="dxa"/>
            <w:shd w:val="pct10" w:color="auto" w:fill="auto"/>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4500K</w:t>
            </w:r>
          </w:p>
        </w:tc>
        <w:tc>
          <w:tcPr>
            <w:tcW w:w="736" w:type="dxa"/>
            <w:shd w:val="pct10" w:color="auto" w:fill="auto"/>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5000K</w:t>
            </w:r>
          </w:p>
        </w:tc>
        <w:tc>
          <w:tcPr>
            <w:tcW w:w="736" w:type="dxa"/>
            <w:shd w:val="pct10" w:color="auto" w:fill="auto"/>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5700K</w:t>
            </w:r>
          </w:p>
        </w:tc>
        <w:tc>
          <w:tcPr>
            <w:tcW w:w="776" w:type="dxa"/>
            <w:shd w:val="pct10" w:color="auto" w:fill="auto"/>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6500K</w:t>
            </w:r>
          </w:p>
        </w:tc>
      </w:tr>
      <w:tr w:rsidR="00957114" w:rsidRPr="00143BA6" w:rsidTr="00957114">
        <w:trPr>
          <w:jc w:val="center"/>
        </w:trPr>
        <w:tc>
          <w:tcPr>
            <w:tcW w:w="608" w:type="dxa"/>
            <w:shd w:val="pct10" w:color="auto" w:fill="auto"/>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x</w:t>
            </w:r>
          </w:p>
        </w:tc>
        <w:tc>
          <w:tcPr>
            <w:tcW w:w="73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0.3634</w:t>
            </w:r>
          </w:p>
        </w:tc>
        <w:tc>
          <w:tcPr>
            <w:tcW w:w="73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0.3424</w:t>
            </w:r>
          </w:p>
        </w:tc>
        <w:tc>
          <w:tcPr>
            <w:tcW w:w="73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0.3271</w:t>
            </w:r>
          </w:p>
        </w:tc>
        <w:tc>
          <w:tcPr>
            <w:tcW w:w="77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0.3113</w:t>
            </w:r>
          </w:p>
        </w:tc>
      </w:tr>
      <w:tr w:rsidR="00957114" w:rsidRPr="00143BA6" w:rsidTr="00957114">
        <w:trPr>
          <w:jc w:val="center"/>
        </w:trPr>
        <w:tc>
          <w:tcPr>
            <w:tcW w:w="608" w:type="dxa"/>
            <w:shd w:val="pct10" w:color="auto" w:fill="auto"/>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y</w:t>
            </w:r>
          </w:p>
        </w:tc>
        <w:tc>
          <w:tcPr>
            <w:tcW w:w="73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0.3703</w:t>
            </w:r>
          </w:p>
        </w:tc>
        <w:tc>
          <w:tcPr>
            <w:tcW w:w="73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0.3514</w:t>
            </w:r>
          </w:p>
        </w:tc>
        <w:tc>
          <w:tcPr>
            <w:tcW w:w="73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0.3457</w:t>
            </w:r>
          </w:p>
        </w:tc>
        <w:tc>
          <w:tcPr>
            <w:tcW w:w="77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0.3237</w:t>
            </w:r>
            <w:r w:rsidRPr="00143BA6">
              <w:rPr>
                <w:rFonts w:ascii="Times New Roman" w:hAnsi="Times New Roman" w:cs="Times New Roman"/>
                <w:sz w:val="16"/>
                <w:szCs w:val="16"/>
              </w:rPr>
              <w:t xml:space="preserve"> </w:t>
            </w:r>
          </w:p>
        </w:tc>
      </w:tr>
      <w:tr w:rsidR="00957114" w:rsidRPr="00143BA6" w:rsidTr="00957114">
        <w:trPr>
          <w:jc w:val="center"/>
        </w:trPr>
        <w:tc>
          <w:tcPr>
            <w:tcW w:w="608" w:type="dxa"/>
            <w:shd w:val="pct10" w:color="auto" w:fill="auto"/>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u’</w:t>
            </w:r>
          </w:p>
        </w:tc>
        <w:tc>
          <w:tcPr>
            <w:tcW w:w="73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0.2164</w:t>
            </w:r>
          </w:p>
        </w:tc>
        <w:tc>
          <w:tcPr>
            <w:tcW w:w="73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0.2097</w:t>
            </w:r>
          </w:p>
        </w:tc>
        <w:tc>
          <w:tcPr>
            <w:tcW w:w="73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0.2014</w:t>
            </w:r>
          </w:p>
        </w:tc>
        <w:tc>
          <w:tcPr>
            <w:tcW w:w="77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0.1988</w:t>
            </w:r>
            <w:r w:rsidRPr="00143BA6">
              <w:rPr>
                <w:rFonts w:ascii="Times New Roman" w:hAnsi="Times New Roman" w:cs="Times New Roman"/>
                <w:sz w:val="16"/>
                <w:szCs w:val="16"/>
              </w:rPr>
              <w:t xml:space="preserve"> </w:t>
            </w:r>
          </w:p>
        </w:tc>
      </w:tr>
      <w:tr w:rsidR="00957114" w:rsidRPr="00143BA6" w:rsidTr="00957114">
        <w:trPr>
          <w:jc w:val="center"/>
        </w:trPr>
        <w:tc>
          <w:tcPr>
            <w:tcW w:w="608" w:type="dxa"/>
            <w:shd w:val="pct10" w:color="auto" w:fill="auto"/>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v’</w:t>
            </w:r>
          </w:p>
        </w:tc>
        <w:tc>
          <w:tcPr>
            <w:tcW w:w="73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0.4962</w:t>
            </w:r>
          </w:p>
        </w:tc>
        <w:tc>
          <w:tcPr>
            <w:tcW w:w="73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0.4842</w:t>
            </w:r>
          </w:p>
        </w:tc>
        <w:tc>
          <w:tcPr>
            <w:tcW w:w="73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0.4791</w:t>
            </w:r>
          </w:p>
        </w:tc>
        <w:tc>
          <w:tcPr>
            <w:tcW w:w="776" w:type="dxa"/>
          </w:tcPr>
          <w:p w:rsidR="00957114" w:rsidRPr="00143BA6" w:rsidRDefault="00957114" w:rsidP="00E412D5">
            <w:pPr>
              <w:jc w:val="center"/>
              <w:rPr>
                <w:rFonts w:ascii="Times New Roman" w:hAnsi="Times New Roman" w:cs="Times New Roman"/>
                <w:sz w:val="16"/>
                <w:szCs w:val="16"/>
              </w:rPr>
            </w:pPr>
            <w:r>
              <w:rPr>
                <w:rFonts w:ascii="Times New Roman" w:hAnsi="Times New Roman" w:cs="Times New Roman"/>
                <w:sz w:val="16"/>
                <w:szCs w:val="16"/>
              </w:rPr>
              <w:t>0.4653</w:t>
            </w:r>
            <w:r w:rsidRPr="00143BA6">
              <w:rPr>
                <w:rFonts w:ascii="Times New Roman" w:hAnsi="Times New Roman" w:cs="Times New Roman"/>
                <w:sz w:val="16"/>
                <w:szCs w:val="16"/>
              </w:rPr>
              <w:t xml:space="preserve"> </w:t>
            </w:r>
          </w:p>
        </w:tc>
      </w:tr>
      <w:tr w:rsidR="00957114" w:rsidRPr="00143BA6" w:rsidTr="00957114">
        <w:trPr>
          <w:jc w:val="center"/>
        </w:trPr>
        <w:tc>
          <w:tcPr>
            <w:tcW w:w="608" w:type="dxa"/>
            <w:shd w:val="pct10" w:color="auto" w:fill="auto"/>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CRI</w:t>
            </w:r>
          </w:p>
        </w:tc>
        <w:tc>
          <w:tcPr>
            <w:tcW w:w="736" w:type="dxa"/>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82</w:t>
            </w:r>
          </w:p>
        </w:tc>
        <w:tc>
          <w:tcPr>
            <w:tcW w:w="736" w:type="dxa"/>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76</w:t>
            </w:r>
          </w:p>
        </w:tc>
        <w:tc>
          <w:tcPr>
            <w:tcW w:w="736" w:type="dxa"/>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72</w:t>
            </w:r>
          </w:p>
        </w:tc>
        <w:tc>
          <w:tcPr>
            <w:tcW w:w="776" w:type="dxa"/>
          </w:tcPr>
          <w:p w:rsidR="00957114" w:rsidRPr="00143BA6" w:rsidRDefault="00957114" w:rsidP="00E412D5">
            <w:pPr>
              <w:jc w:val="center"/>
              <w:rPr>
                <w:rFonts w:ascii="Times New Roman" w:hAnsi="Times New Roman" w:cs="Times New Roman"/>
                <w:sz w:val="16"/>
                <w:szCs w:val="16"/>
              </w:rPr>
            </w:pPr>
            <w:r w:rsidRPr="00143BA6">
              <w:rPr>
                <w:rFonts w:ascii="Times New Roman" w:hAnsi="Times New Roman" w:cs="Times New Roman"/>
                <w:sz w:val="16"/>
                <w:szCs w:val="16"/>
              </w:rPr>
              <w:t>80</w:t>
            </w:r>
          </w:p>
        </w:tc>
      </w:tr>
    </w:tbl>
    <w:p w:rsidR="0066723A" w:rsidRDefault="0066723A" w:rsidP="0066723A">
      <w:pPr>
        <w:pStyle w:val="Wcicienormalne"/>
      </w:pPr>
    </w:p>
    <w:p w:rsidR="007358A1" w:rsidRDefault="00406C60" w:rsidP="001D025C">
      <w:pPr>
        <w:pStyle w:val="Wcicienormalne"/>
      </w:pPr>
      <w:r>
        <w:t>However, LED technology and phosphor compositions bring a wide range of possibilities to create any required spectral power distribution of white light. For that reason there is theoretically unlimited number of ways to create white light. For example, warm white light might be created with use of different blue emitters and phosphor compositions (see Fig. 3 and Table 3).</w:t>
      </w:r>
      <w:r w:rsidRPr="005533FB">
        <w:t xml:space="preserve"> </w:t>
      </w:r>
    </w:p>
    <w:p w:rsidR="00406C60" w:rsidRDefault="00406C60" w:rsidP="0066723A">
      <w:pPr>
        <w:pStyle w:val="Wcicienormalne"/>
      </w:pPr>
    </w:p>
    <w:p w:rsidR="003D7EFB" w:rsidRDefault="001D025C" w:rsidP="00FC5D7A">
      <w:pPr>
        <w:pStyle w:val="Wcicienormalne"/>
      </w:pPr>
      <w:r>
        <w:rPr>
          <w:noProof/>
          <w:lang w:val="pl-PL"/>
        </w:rPr>
        <w:drawing>
          <wp:inline distT="0" distB="0" distL="0" distR="0" wp14:anchorId="26D4C1C1" wp14:editId="2CB7497F">
            <wp:extent cx="2968625" cy="1564005"/>
            <wp:effectExtent l="0" t="0" r="317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68625" cy="1564005"/>
                    </a:xfrm>
                    <a:prstGeom prst="rect">
                      <a:avLst/>
                    </a:prstGeom>
                  </pic:spPr>
                </pic:pic>
              </a:graphicData>
            </a:graphic>
          </wp:inline>
        </w:drawing>
      </w:r>
    </w:p>
    <w:p w:rsidR="00EB591F" w:rsidRDefault="003D7EFB" w:rsidP="00EB591F">
      <w:pPr>
        <w:pStyle w:val="Figdescription"/>
        <w:rPr>
          <w:i w:val="0"/>
          <w:sz w:val="16"/>
          <w:szCs w:val="16"/>
        </w:rPr>
      </w:pPr>
      <w:r w:rsidRPr="00F4515B">
        <w:rPr>
          <w:i w:val="0"/>
          <w:sz w:val="16"/>
          <w:szCs w:val="16"/>
        </w:rPr>
        <w:t>Fig</w:t>
      </w:r>
      <w:r>
        <w:rPr>
          <w:i w:val="0"/>
          <w:sz w:val="16"/>
          <w:szCs w:val="16"/>
        </w:rPr>
        <w:t>.</w:t>
      </w:r>
      <w:r w:rsidRPr="00F4515B">
        <w:rPr>
          <w:i w:val="0"/>
          <w:sz w:val="16"/>
          <w:szCs w:val="16"/>
        </w:rPr>
        <w:t xml:space="preserve"> </w:t>
      </w:r>
      <w:r w:rsidR="005F0F55">
        <w:rPr>
          <w:i w:val="0"/>
          <w:sz w:val="16"/>
          <w:szCs w:val="16"/>
        </w:rPr>
        <w:t>3</w:t>
      </w:r>
      <w:r w:rsidRPr="00F4515B">
        <w:rPr>
          <w:i w:val="0"/>
          <w:sz w:val="16"/>
          <w:szCs w:val="16"/>
        </w:rPr>
        <w:t xml:space="preserve">. </w:t>
      </w:r>
      <w:r>
        <w:rPr>
          <w:i w:val="0"/>
          <w:sz w:val="16"/>
          <w:szCs w:val="16"/>
        </w:rPr>
        <w:t>Different SPDs of  warm white LEDs</w:t>
      </w:r>
      <w:r w:rsidR="00E2162A">
        <w:rPr>
          <w:i w:val="0"/>
          <w:sz w:val="16"/>
          <w:szCs w:val="16"/>
        </w:rPr>
        <w:t xml:space="preserve"> (3000K</w:t>
      </w:r>
      <w:r w:rsidR="00F44521">
        <w:rPr>
          <w:i w:val="0"/>
          <w:sz w:val="16"/>
          <w:szCs w:val="16"/>
        </w:rPr>
        <w:t>)</w:t>
      </w:r>
    </w:p>
    <w:p w:rsidR="0066723A" w:rsidRDefault="0066723A" w:rsidP="0066723A">
      <w:pPr>
        <w:pStyle w:val="Figdescription"/>
        <w:spacing w:before="100" w:beforeAutospacing="1" w:after="0"/>
        <w:rPr>
          <w:i w:val="0"/>
          <w:sz w:val="16"/>
          <w:szCs w:val="16"/>
        </w:rPr>
      </w:pPr>
      <w:r>
        <w:rPr>
          <w:i w:val="0"/>
          <w:sz w:val="16"/>
          <w:szCs w:val="16"/>
        </w:rPr>
        <w:t xml:space="preserve">Table 3. </w:t>
      </w:r>
      <w:r w:rsidR="003B0367">
        <w:rPr>
          <w:i w:val="0"/>
          <w:sz w:val="16"/>
          <w:szCs w:val="16"/>
        </w:rPr>
        <w:t xml:space="preserve">The </w:t>
      </w:r>
      <w:r w:rsidR="003B0367" w:rsidRPr="003B0367">
        <w:rPr>
          <w:i w:val="0"/>
          <w:sz w:val="16"/>
          <w:szCs w:val="16"/>
        </w:rPr>
        <w:t>colorimetric parameters</w:t>
      </w:r>
      <w:r w:rsidR="003B0367">
        <w:rPr>
          <w:i w:val="0"/>
          <w:sz w:val="16"/>
          <w:szCs w:val="16"/>
        </w:rPr>
        <w:t xml:space="preserve"> of LEDs </w:t>
      </w:r>
      <w:r w:rsidR="00823138">
        <w:rPr>
          <w:i w:val="0"/>
          <w:sz w:val="16"/>
          <w:szCs w:val="16"/>
        </w:rPr>
        <w:t>with CCT=3000 K and different SPDs</w:t>
      </w:r>
    </w:p>
    <w:tbl>
      <w:tblPr>
        <w:tblStyle w:val="Tabela-Siatka"/>
        <w:tblW w:w="0" w:type="auto"/>
        <w:tblLook w:val="04A0" w:firstRow="1" w:lastRow="0" w:firstColumn="1" w:lastColumn="0" w:noHBand="0" w:noVBand="1"/>
      </w:tblPr>
      <w:tblGrid>
        <w:gridCol w:w="815"/>
        <w:gridCol w:w="770"/>
        <w:gridCol w:w="770"/>
        <w:gridCol w:w="770"/>
        <w:gridCol w:w="770"/>
        <w:gridCol w:w="770"/>
      </w:tblGrid>
      <w:tr w:rsidR="00EB591F" w:rsidTr="0066723A">
        <w:tc>
          <w:tcPr>
            <w:tcW w:w="815" w:type="dxa"/>
            <w:shd w:val="pct10" w:color="auto" w:fill="auto"/>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CCT</w:t>
            </w:r>
          </w:p>
        </w:tc>
        <w:tc>
          <w:tcPr>
            <w:tcW w:w="3850" w:type="dxa"/>
            <w:gridSpan w:val="5"/>
            <w:shd w:val="pct10" w:color="auto" w:fill="auto"/>
          </w:tcPr>
          <w:p w:rsidR="00EB591F" w:rsidRPr="00EB591F" w:rsidRDefault="003B0367" w:rsidP="00E412D5">
            <w:pPr>
              <w:jc w:val="center"/>
              <w:rPr>
                <w:rFonts w:ascii="Times New Roman" w:hAnsi="Times New Roman" w:cs="Times New Roman"/>
                <w:sz w:val="16"/>
                <w:szCs w:val="16"/>
              </w:rPr>
            </w:pPr>
            <w:r>
              <w:rPr>
                <w:rFonts w:ascii="Times New Roman" w:hAnsi="Times New Roman" w:cs="Times New Roman"/>
                <w:sz w:val="16"/>
                <w:szCs w:val="16"/>
              </w:rPr>
              <w:t>LED with CCT=</w:t>
            </w:r>
            <w:r w:rsidR="00EB591F" w:rsidRPr="00EB591F">
              <w:rPr>
                <w:rFonts w:ascii="Times New Roman" w:hAnsi="Times New Roman" w:cs="Times New Roman"/>
                <w:sz w:val="16"/>
                <w:szCs w:val="16"/>
              </w:rPr>
              <w:t>3000K</w:t>
            </w:r>
          </w:p>
        </w:tc>
      </w:tr>
      <w:tr w:rsidR="00EB591F" w:rsidTr="0066723A">
        <w:tc>
          <w:tcPr>
            <w:tcW w:w="815" w:type="dxa"/>
            <w:tcBorders>
              <w:bottom w:val="single" w:sz="4" w:space="0" w:color="auto"/>
            </w:tcBorders>
            <w:shd w:val="pct10" w:color="auto" w:fill="auto"/>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Sample</w:t>
            </w:r>
          </w:p>
        </w:tc>
        <w:tc>
          <w:tcPr>
            <w:tcW w:w="770" w:type="dxa"/>
            <w:shd w:val="pct10" w:color="auto" w:fill="auto"/>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1</w:t>
            </w:r>
          </w:p>
        </w:tc>
        <w:tc>
          <w:tcPr>
            <w:tcW w:w="770" w:type="dxa"/>
            <w:shd w:val="pct10" w:color="auto" w:fill="auto"/>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2</w:t>
            </w:r>
          </w:p>
        </w:tc>
        <w:tc>
          <w:tcPr>
            <w:tcW w:w="770" w:type="dxa"/>
            <w:shd w:val="pct10" w:color="auto" w:fill="auto"/>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3</w:t>
            </w:r>
          </w:p>
        </w:tc>
        <w:tc>
          <w:tcPr>
            <w:tcW w:w="770" w:type="dxa"/>
            <w:shd w:val="pct10" w:color="auto" w:fill="auto"/>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4</w:t>
            </w:r>
          </w:p>
        </w:tc>
        <w:tc>
          <w:tcPr>
            <w:tcW w:w="770" w:type="dxa"/>
            <w:shd w:val="pct10" w:color="auto" w:fill="auto"/>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5</w:t>
            </w:r>
          </w:p>
        </w:tc>
      </w:tr>
      <w:tr w:rsidR="00EB591F" w:rsidTr="0066723A">
        <w:tc>
          <w:tcPr>
            <w:tcW w:w="815" w:type="dxa"/>
            <w:shd w:val="pct10" w:color="auto" w:fill="auto"/>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x</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0.4371</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0.4317</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0.4347</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0.4354</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0.4349</w:t>
            </w:r>
          </w:p>
        </w:tc>
      </w:tr>
      <w:tr w:rsidR="00EB591F" w:rsidTr="0066723A">
        <w:tc>
          <w:tcPr>
            <w:tcW w:w="815" w:type="dxa"/>
            <w:shd w:val="pct10" w:color="auto" w:fill="auto"/>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y</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0.4047</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0.3934</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0.3996</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0.4012</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0.4002</w:t>
            </w:r>
          </w:p>
        </w:tc>
      </w:tr>
      <w:tr w:rsidR="00EB591F" w:rsidTr="0066723A">
        <w:tc>
          <w:tcPr>
            <w:tcW w:w="815" w:type="dxa"/>
            <w:shd w:val="pct10" w:color="auto" w:fill="auto"/>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u’</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0.2504</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0.2518</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0.2511</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0.2508</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0.2509</w:t>
            </w:r>
          </w:p>
        </w:tc>
      </w:tr>
      <w:tr w:rsidR="00EB591F" w:rsidTr="0066723A">
        <w:tc>
          <w:tcPr>
            <w:tcW w:w="815" w:type="dxa"/>
            <w:shd w:val="pct10" w:color="auto" w:fill="auto"/>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v’</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0.5217</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0.5163</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0.5193</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0.5200</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0.2509</w:t>
            </w:r>
          </w:p>
        </w:tc>
      </w:tr>
      <w:tr w:rsidR="00EB591F" w:rsidTr="0066723A">
        <w:tc>
          <w:tcPr>
            <w:tcW w:w="815" w:type="dxa"/>
            <w:shd w:val="pct10" w:color="auto" w:fill="auto"/>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CRI</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80</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78</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79</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81</w:t>
            </w:r>
          </w:p>
        </w:tc>
        <w:tc>
          <w:tcPr>
            <w:tcW w:w="770" w:type="dxa"/>
          </w:tcPr>
          <w:p w:rsidR="00EB591F" w:rsidRPr="00EB591F" w:rsidRDefault="00EB591F" w:rsidP="00E412D5">
            <w:pPr>
              <w:jc w:val="center"/>
              <w:rPr>
                <w:rFonts w:ascii="Times New Roman" w:hAnsi="Times New Roman" w:cs="Times New Roman"/>
                <w:sz w:val="16"/>
                <w:szCs w:val="16"/>
              </w:rPr>
            </w:pPr>
            <w:r w:rsidRPr="00EB591F">
              <w:rPr>
                <w:rFonts w:ascii="Times New Roman" w:hAnsi="Times New Roman" w:cs="Times New Roman"/>
                <w:sz w:val="16"/>
                <w:szCs w:val="16"/>
              </w:rPr>
              <w:t>82</w:t>
            </w:r>
          </w:p>
        </w:tc>
      </w:tr>
    </w:tbl>
    <w:p w:rsidR="005F0F55" w:rsidRDefault="005F0F55" w:rsidP="00FC5D7A">
      <w:pPr>
        <w:pStyle w:val="Wcicienormalne"/>
      </w:pPr>
    </w:p>
    <w:p w:rsidR="00406C60" w:rsidRDefault="00406C60" w:rsidP="00406C60">
      <w:pPr>
        <w:pStyle w:val="Wcicienormalne"/>
      </w:pPr>
      <w:r>
        <w:t>There are also commercially available LEDs which mimic sun radiation in visible range (see Table 4 and Fig. 4). Their SPD is very different from typical LEDs, what improves colour perception and according to marketing materials, amount of blue light is more closer to natural light. However, it was all achieved by cost of efficiency, which is significantly lower than in case of standard LEDs.</w:t>
      </w:r>
    </w:p>
    <w:p w:rsidR="00406C60" w:rsidRDefault="00406C60" w:rsidP="00FC5D7A">
      <w:pPr>
        <w:pStyle w:val="Wcicienormalne"/>
      </w:pPr>
    </w:p>
    <w:p w:rsidR="0007125A" w:rsidRDefault="001D025C" w:rsidP="00FC5D7A">
      <w:pPr>
        <w:pStyle w:val="Wcicienormalne"/>
      </w:pPr>
      <w:r>
        <w:rPr>
          <w:noProof/>
          <w:lang w:val="pl-PL"/>
        </w:rPr>
        <w:drawing>
          <wp:inline distT="0" distB="0" distL="0" distR="0" wp14:anchorId="22DF175A" wp14:editId="005567C2">
            <wp:extent cx="2968625" cy="1499870"/>
            <wp:effectExtent l="0" t="0" r="3175" b="508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68625" cy="1499870"/>
                    </a:xfrm>
                    <a:prstGeom prst="rect">
                      <a:avLst/>
                    </a:prstGeom>
                  </pic:spPr>
                </pic:pic>
              </a:graphicData>
            </a:graphic>
          </wp:inline>
        </w:drawing>
      </w:r>
    </w:p>
    <w:p w:rsidR="00406C60" w:rsidRDefault="00C15DF2" w:rsidP="00406C60">
      <w:pPr>
        <w:pStyle w:val="Figdescription"/>
        <w:rPr>
          <w:i w:val="0"/>
          <w:sz w:val="16"/>
          <w:szCs w:val="16"/>
        </w:rPr>
      </w:pPr>
      <w:r w:rsidRPr="00F4515B">
        <w:rPr>
          <w:i w:val="0"/>
          <w:sz w:val="16"/>
          <w:szCs w:val="16"/>
        </w:rPr>
        <w:t>Fig</w:t>
      </w:r>
      <w:r>
        <w:rPr>
          <w:i w:val="0"/>
          <w:sz w:val="16"/>
          <w:szCs w:val="16"/>
        </w:rPr>
        <w:t>.</w:t>
      </w:r>
      <w:r w:rsidRPr="00F4515B">
        <w:rPr>
          <w:i w:val="0"/>
          <w:sz w:val="16"/>
          <w:szCs w:val="16"/>
        </w:rPr>
        <w:t xml:space="preserve"> </w:t>
      </w:r>
      <w:r w:rsidR="005F0F55">
        <w:rPr>
          <w:i w:val="0"/>
          <w:sz w:val="16"/>
          <w:szCs w:val="16"/>
        </w:rPr>
        <w:t>4</w:t>
      </w:r>
      <w:r w:rsidRPr="00F4515B">
        <w:rPr>
          <w:i w:val="0"/>
          <w:sz w:val="16"/>
          <w:szCs w:val="16"/>
        </w:rPr>
        <w:t xml:space="preserve">. </w:t>
      </w:r>
      <w:r>
        <w:rPr>
          <w:i w:val="0"/>
          <w:sz w:val="16"/>
          <w:szCs w:val="16"/>
        </w:rPr>
        <w:t>The SPDs of LEDs which mimic sun light radiation in visible range</w:t>
      </w:r>
    </w:p>
    <w:p w:rsidR="0066723A" w:rsidRDefault="0066723A" w:rsidP="00406C60">
      <w:pPr>
        <w:pStyle w:val="Figdescription"/>
        <w:rPr>
          <w:i w:val="0"/>
          <w:sz w:val="16"/>
          <w:szCs w:val="16"/>
        </w:rPr>
      </w:pPr>
      <w:r>
        <w:rPr>
          <w:i w:val="0"/>
          <w:sz w:val="16"/>
          <w:szCs w:val="16"/>
        </w:rPr>
        <w:t xml:space="preserve">Table 4. </w:t>
      </w:r>
      <w:r w:rsidR="00823138">
        <w:rPr>
          <w:i w:val="0"/>
          <w:sz w:val="16"/>
          <w:szCs w:val="16"/>
        </w:rPr>
        <w:t xml:space="preserve">The </w:t>
      </w:r>
      <w:r w:rsidR="00823138" w:rsidRPr="003B0367">
        <w:rPr>
          <w:i w:val="0"/>
          <w:sz w:val="16"/>
          <w:szCs w:val="16"/>
        </w:rPr>
        <w:t>colorimetric parameters</w:t>
      </w:r>
      <w:r w:rsidR="00823138">
        <w:rPr>
          <w:i w:val="0"/>
          <w:sz w:val="16"/>
          <w:szCs w:val="16"/>
        </w:rPr>
        <w:t xml:space="preserve"> of “sun type” LEDs</w:t>
      </w:r>
    </w:p>
    <w:tbl>
      <w:tblPr>
        <w:tblStyle w:val="Tabela-Siatka"/>
        <w:tblW w:w="4740" w:type="dxa"/>
        <w:tblLook w:val="04A0" w:firstRow="1" w:lastRow="0" w:firstColumn="1" w:lastColumn="0" w:noHBand="0" w:noVBand="1"/>
      </w:tblPr>
      <w:tblGrid>
        <w:gridCol w:w="776"/>
        <w:gridCol w:w="661"/>
        <w:gridCol w:w="661"/>
        <w:gridCol w:w="660"/>
        <w:gridCol w:w="660"/>
        <w:gridCol w:w="660"/>
        <w:gridCol w:w="662"/>
      </w:tblGrid>
      <w:tr w:rsidR="008405DB" w:rsidTr="00C956CB">
        <w:tc>
          <w:tcPr>
            <w:tcW w:w="776" w:type="dxa"/>
            <w:shd w:val="pct10" w:color="auto" w:fill="auto"/>
          </w:tcPr>
          <w:p w:rsidR="008405DB" w:rsidRPr="00AA6C19" w:rsidRDefault="008405DB" w:rsidP="00E412D5">
            <w:pPr>
              <w:jc w:val="center"/>
              <w:rPr>
                <w:rFonts w:ascii="Times New Roman" w:hAnsi="Times New Roman" w:cs="Times New Roman"/>
                <w:sz w:val="16"/>
                <w:szCs w:val="16"/>
              </w:rPr>
            </w:pPr>
            <w:r w:rsidRPr="00AA6C19">
              <w:rPr>
                <w:rFonts w:ascii="Times New Roman" w:hAnsi="Times New Roman" w:cs="Times New Roman"/>
                <w:sz w:val="16"/>
                <w:szCs w:val="16"/>
              </w:rPr>
              <w:t>SPD</w:t>
            </w:r>
          </w:p>
        </w:tc>
        <w:tc>
          <w:tcPr>
            <w:tcW w:w="3964" w:type="dxa"/>
            <w:gridSpan w:val="6"/>
            <w:shd w:val="pct10" w:color="auto" w:fill="auto"/>
          </w:tcPr>
          <w:p w:rsidR="008405DB" w:rsidRPr="00AA6C19" w:rsidRDefault="008405DB" w:rsidP="00E412D5">
            <w:pPr>
              <w:jc w:val="center"/>
              <w:rPr>
                <w:rFonts w:ascii="Times New Roman" w:hAnsi="Times New Roman" w:cs="Times New Roman"/>
                <w:sz w:val="16"/>
                <w:szCs w:val="16"/>
              </w:rPr>
            </w:pPr>
            <w:r w:rsidRPr="00AA6C19">
              <w:rPr>
                <w:rFonts w:ascii="Times New Roman" w:hAnsi="Times New Roman" w:cs="Times New Roman"/>
                <w:sz w:val="16"/>
                <w:szCs w:val="16"/>
              </w:rPr>
              <w:t>„sun</w:t>
            </w:r>
            <w:r>
              <w:rPr>
                <w:rFonts w:ascii="Times New Roman" w:hAnsi="Times New Roman" w:cs="Times New Roman"/>
                <w:sz w:val="16"/>
                <w:szCs w:val="16"/>
              </w:rPr>
              <w:t xml:space="preserve"> - type</w:t>
            </w:r>
            <w:r w:rsidRPr="00AA6C19">
              <w:rPr>
                <w:rFonts w:ascii="Times New Roman" w:hAnsi="Times New Roman" w:cs="Times New Roman"/>
                <w:sz w:val="16"/>
                <w:szCs w:val="16"/>
              </w:rPr>
              <w:t>”</w:t>
            </w:r>
            <w:r w:rsidR="003B0367">
              <w:rPr>
                <w:rFonts w:ascii="Times New Roman" w:hAnsi="Times New Roman" w:cs="Times New Roman"/>
                <w:sz w:val="16"/>
                <w:szCs w:val="16"/>
              </w:rPr>
              <w:t xml:space="preserve"> LEDs</w:t>
            </w:r>
          </w:p>
        </w:tc>
      </w:tr>
      <w:tr w:rsidR="008405DB" w:rsidTr="00C956CB">
        <w:tc>
          <w:tcPr>
            <w:tcW w:w="776" w:type="dxa"/>
            <w:tcBorders>
              <w:bottom w:val="single" w:sz="4" w:space="0" w:color="auto"/>
            </w:tcBorders>
            <w:shd w:val="pct10" w:color="auto" w:fill="auto"/>
          </w:tcPr>
          <w:p w:rsidR="008405DB" w:rsidRPr="00AA6C19" w:rsidRDefault="008405DB" w:rsidP="00E412D5">
            <w:pPr>
              <w:jc w:val="center"/>
              <w:rPr>
                <w:rFonts w:ascii="Times New Roman" w:hAnsi="Times New Roman" w:cs="Times New Roman"/>
                <w:sz w:val="16"/>
                <w:szCs w:val="16"/>
              </w:rPr>
            </w:pPr>
            <w:r w:rsidRPr="00AA6C19">
              <w:rPr>
                <w:rFonts w:ascii="Times New Roman" w:hAnsi="Times New Roman" w:cs="Times New Roman"/>
                <w:sz w:val="16"/>
                <w:szCs w:val="16"/>
              </w:rPr>
              <w:t>Sample</w:t>
            </w:r>
          </w:p>
        </w:tc>
        <w:tc>
          <w:tcPr>
            <w:tcW w:w="661" w:type="dxa"/>
            <w:shd w:val="pct10" w:color="auto" w:fill="auto"/>
          </w:tcPr>
          <w:p w:rsidR="008405DB" w:rsidRPr="00AA6C19" w:rsidRDefault="008405DB" w:rsidP="00E412D5">
            <w:pPr>
              <w:jc w:val="center"/>
              <w:rPr>
                <w:rFonts w:ascii="Times New Roman" w:hAnsi="Times New Roman" w:cs="Times New Roman"/>
                <w:sz w:val="16"/>
                <w:szCs w:val="16"/>
              </w:rPr>
            </w:pPr>
            <w:r w:rsidRPr="00AA6C19">
              <w:rPr>
                <w:rFonts w:ascii="Times New Roman" w:hAnsi="Times New Roman" w:cs="Times New Roman"/>
                <w:sz w:val="16"/>
                <w:szCs w:val="16"/>
              </w:rPr>
              <w:t>2700K</w:t>
            </w:r>
          </w:p>
        </w:tc>
        <w:tc>
          <w:tcPr>
            <w:tcW w:w="661" w:type="dxa"/>
            <w:shd w:val="pct10" w:color="auto" w:fill="auto"/>
          </w:tcPr>
          <w:p w:rsidR="008405DB" w:rsidRPr="00AA6C19" w:rsidRDefault="008405DB" w:rsidP="00E412D5">
            <w:pPr>
              <w:jc w:val="center"/>
              <w:rPr>
                <w:rFonts w:ascii="Times New Roman" w:hAnsi="Times New Roman" w:cs="Times New Roman"/>
                <w:sz w:val="16"/>
                <w:szCs w:val="16"/>
              </w:rPr>
            </w:pPr>
            <w:r w:rsidRPr="00AA6C19">
              <w:rPr>
                <w:rFonts w:ascii="Times New Roman" w:hAnsi="Times New Roman" w:cs="Times New Roman"/>
                <w:sz w:val="16"/>
                <w:szCs w:val="16"/>
              </w:rPr>
              <w:t>3000K</w:t>
            </w:r>
          </w:p>
        </w:tc>
        <w:tc>
          <w:tcPr>
            <w:tcW w:w="660" w:type="dxa"/>
            <w:shd w:val="pct10" w:color="auto" w:fill="auto"/>
          </w:tcPr>
          <w:p w:rsidR="008405DB" w:rsidRPr="00AA6C19" w:rsidRDefault="008405DB" w:rsidP="00E412D5">
            <w:pPr>
              <w:jc w:val="center"/>
              <w:rPr>
                <w:rFonts w:ascii="Times New Roman" w:hAnsi="Times New Roman" w:cs="Times New Roman"/>
                <w:sz w:val="16"/>
                <w:szCs w:val="16"/>
              </w:rPr>
            </w:pPr>
            <w:r w:rsidRPr="00AA6C19">
              <w:rPr>
                <w:rFonts w:ascii="Times New Roman" w:hAnsi="Times New Roman" w:cs="Times New Roman"/>
                <w:sz w:val="16"/>
                <w:szCs w:val="16"/>
              </w:rPr>
              <w:t>3500K</w:t>
            </w:r>
          </w:p>
        </w:tc>
        <w:tc>
          <w:tcPr>
            <w:tcW w:w="660" w:type="dxa"/>
            <w:shd w:val="pct10" w:color="auto" w:fill="auto"/>
          </w:tcPr>
          <w:p w:rsidR="008405DB" w:rsidRPr="00AA6C19" w:rsidRDefault="008405DB" w:rsidP="00E412D5">
            <w:pPr>
              <w:jc w:val="center"/>
              <w:rPr>
                <w:rFonts w:ascii="Times New Roman" w:hAnsi="Times New Roman" w:cs="Times New Roman"/>
                <w:sz w:val="16"/>
                <w:szCs w:val="16"/>
              </w:rPr>
            </w:pPr>
            <w:r w:rsidRPr="00AA6C19">
              <w:rPr>
                <w:rFonts w:ascii="Times New Roman" w:hAnsi="Times New Roman" w:cs="Times New Roman"/>
                <w:sz w:val="16"/>
                <w:szCs w:val="16"/>
              </w:rPr>
              <w:t>4000K</w:t>
            </w:r>
          </w:p>
        </w:tc>
        <w:tc>
          <w:tcPr>
            <w:tcW w:w="660" w:type="dxa"/>
            <w:shd w:val="pct10" w:color="auto" w:fill="auto"/>
          </w:tcPr>
          <w:p w:rsidR="008405DB" w:rsidRPr="00AA6C19" w:rsidRDefault="008405DB" w:rsidP="00E412D5">
            <w:pPr>
              <w:jc w:val="center"/>
              <w:rPr>
                <w:rFonts w:ascii="Times New Roman" w:hAnsi="Times New Roman" w:cs="Times New Roman"/>
                <w:sz w:val="16"/>
                <w:szCs w:val="16"/>
              </w:rPr>
            </w:pPr>
            <w:r w:rsidRPr="00AA6C19">
              <w:rPr>
                <w:rFonts w:ascii="Times New Roman" w:hAnsi="Times New Roman" w:cs="Times New Roman"/>
                <w:sz w:val="16"/>
                <w:szCs w:val="16"/>
              </w:rPr>
              <w:t>5000K</w:t>
            </w:r>
          </w:p>
        </w:tc>
        <w:tc>
          <w:tcPr>
            <w:tcW w:w="662" w:type="dxa"/>
            <w:shd w:val="pct10" w:color="auto" w:fill="auto"/>
          </w:tcPr>
          <w:p w:rsidR="008405DB" w:rsidRPr="00AA6C19" w:rsidRDefault="008405DB" w:rsidP="00E412D5">
            <w:pPr>
              <w:jc w:val="center"/>
              <w:rPr>
                <w:rFonts w:ascii="Times New Roman" w:hAnsi="Times New Roman" w:cs="Times New Roman"/>
                <w:sz w:val="16"/>
                <w:szCs w:val="16"/>
              </w:rPr>
            </w:pPr>
            <w:r w:rsidRPr="00AA6C19">
              <w:rPr>
                <w:rFonts w:ascii="Times New Roman" w:hAnsi="Times New Roman" w:cs="Times New Roman"/>
                <w:sz w:val="16"/>
                <w:szCs w:val="16"/>
              </w:rPr>
              <w:t>6500K</w:t>
            </w:r>
          </w:p>
        </w:tc>
      </w:tr>
      <w:tr w:rsidR="008405DB" w:rsidTr="00C956CB">
        <w:tc>
          <w:tcPr>
            <w:tcW w:w="776" w:type="dxa"/>
            <w:shd w:val="pct10" w:color="auto" w:fill="auto"/>
          </w:tcPr>
          <w:p w:rsidR="008405DB" w:rsidRPr="00AA6C19" w:rsidRDefault="008405DB" w:rsidP="00E412D5">
            <w:pPr>
              <w:jc w:val="center"/>
              <w:rPr>
                <w:rFonts w:ascii="Times New Roman" w:hAnsi="Times New Roman" w:cs="Times New Roman"/>
                <w:sz w:val="16"/>
                <w:szCs w:val="16"/>
              </w:rPr>
            </w:pPr>
            <w:r w:rsidRPr="00AA6C19">
              <w:rPr>
                <w:rFonts w:ascii="Times New Roman" w:hAnsi="Times New Roman" w:cs="Times New Roman"/>
                <w:sz w:val="16"/>
                <w:szCs w:val="16"/>
              </w:rPr>
              <w:t>x</w:t>
            </w:r>
          </w:p>
        </w:tc>
        <w:tc>
          <w:tcPr>
            <w:tcW w:w="661" w:type="dxa"/>
          </w:tcPr>
          <w:p w:rsidR="008405DB" w:rsidRPr="00AA6C19" w:rsidRDefault="008405DB" w:rsidP="00E412D5">
            <w:pPr>
              <w:jc w:val="center"/>
              <w:rPr>
                <w:rFonts w:ascii="Times New Roman" w:hAnsi="Times New Roman" w:cs="Times New Roman"/>
                <w:sz w:val="16"/>
                <w:szCs w:val="16"/>
              </w:rPr>
            </w:pPr>
            <w:r>
              <w:rPr>
                <w:sz w:val="16"/>
                <w:szCs w:val="16"/>
              </w:rPr>
              <w:t>0.4587</w:t>
            </w:r>
          </w:p>
        </w:tc>
        <w:tc>
          <w:tcPr>
            <w:tcW w:w="661" w:type="dxa"/>
          </w:tcPr>
          <w:p w:rsidR="008405DB" w:rsidRPr="00AA6C19" w:rsidRDefault="008405DB" w:rsidP="00E412D5">
            <w:pPr>
              <w:jc w:val="center"/>
              <w:rPr>
                <w:rFonts w:ascii="Times New Roman" w:hAnsi="Times New Roman" w:cs="Times New Roman"/>
                <w:sz w:val="16"/>
                <w:szCs w:val="16"/>
              </w:rPr>
            </w:pPr>
            <w:r>
              <w:rPr>
                <w:sz w:val="16"/>
                <w:szCs w:val="16"/>
              </w:rPr>
              <w:t>0.4372</w:t>
            </w:r>
          </w:p>
        </w:tc>
        <w:tc>
          <w:tcPr>
            <w:tcW w:w="660" w:type="dxa"/>
          </w:tcPr>
          <w:p w:rsidR="008405DB" w:rsidRPr="00AA6C19" w:rsidRDefault="008405DB" w:rsidP="00E412D5">
            <w:pPr>
              <w:jc w:val="center"/>
              <w:rPr>
                <w:rFonts w:ascii="Times New Roman" w:hAnsi="Times New Roman" w:cs="Times New Roman"/>
                <w:sz w:val="16"/>
                <w:szCs w:val="16"/>
              </w:rPr>
            </w:pPr>
            <w:r>
              <w:rPr>
                <w:sz w:val="16"/>
                <w:szCs w:val="16"/>
              </w:rPr>
              <w:t>0.4121</w:t>
            </w:r>
          </w:p>
        </w:tc>
        <w:tc>
          <w:tcPr>
            <w:tcW w:w="660" w:type="dxa"/>
          </w:tcPr>
          <w:p w:rsidR="008405DB" w:rsidRPr="00AA6C19" w:rsidRDefault="008405DB" w:rsidP="00E412D5">
            <w:pPr>
              <w:jc w:val="center"/>
              <w:rPr>
                <w:rFonts w:ascii="Times New Roman" w:hAnsi="Times New Roman" w:cs="Times New Roman"/>
                <w:sz w:val="16"/>
                <w:szCs w:val="16"/>
              </w:rPr>
            </w:pPr>
            <w:r>
              <w:rPr>
                <w:sz w:val="16"/>
                <w:szCs w:val="16"/>
              </w:rPr>
              <w:t>0.3911</w:t>
            </w:r>
          </w:p>
        </w:tc>
        <w:tc>
          <w:tcPr>
            <w:tcW w:w="660" w:type="dxa"/>
          </w:tcPr>
          <w:p w:rsidR="008405DB" w:rsidRPr="00AA6C19" w:rsidRDefault="008405DB" w:rsidP="00E412D5">
            <w:pPr>
              <w:jc w:val="center"/>
              <w:rPr>
                <w:rFonts w:ascii="Times New Roman" w:hAnsi="Times New Roman" w:cs="Times New Roman"/>
                <w:sz w:val="16"/>
                <w:szCs w:val="16"/>
              </w:rPr>
            </w:pPr>
            <w:r>
              <w:rPr>
                <w:sz w:val="16"/>
                <w:szCs w:val="16"/>
              </w:rPr>
              <w:t>0.3475</w:t>
            </w:r>
          </w:p>
        </w:tc>
        <w:tc>
          <w:tcPr>
            <w:tcW w:w="662" w:type="dxa"/>
          </w:tcPr>
          <w:p w:rsidR="008405DB" w:rsidRPr="00AA6C19" w:rsidRDefault="008405DB" w:rsidP="00E412D5">
            <w:pPr>
              <w:jc w:val="center"/>
              <w:rPr>
                <w:rFonts w:ascii="Times New Roman" w:hAnsi="Times New Roman" w:cs="Times New Roman"/>
                <w:sz w:val="16"/>
                <w:szCs w:val="16"/>
              </w:rPr>
            </w:pPr>
            <w:r>
              <w:rPr>
                <w:sz w:val="16"/>
                <w:szCs w:val="16"/>
              </w:rPr>
              <w:t>0.3146</w:t>
            </w:r>
            <w:r w:rsidRPr="00AA6C19">
              <w:rPr>
                <w:sz w:val="16"/>
                <w:szCs w:val="16"/>
              </w:rPr>
              <w:t xml:space="preserve"> </w:t>
            </w:r>
          </w:p>
        </w:tc>
      </w:tr>
      <w:tr w:rsidR="008405DB" w:rsidTr="00C956CB">
        <w:tc>
          <w:tcPr>
            <w:tcW w:w="776" w:type="dxa"/>
            <w:shd w:val="pct10" w:color="auto" w:fill="auto"/>
          </w:tcPr>
          <w:p w:rsidR="008405DB" w:rsidRPr="00AA6C19" w:rsidRDefault="008405DB" w:rsidP="00E412D5">
            <w:pPr>
              <w:jc w:val="center"/>
              <w:rPr>
                <w:rFonts w:ascii="Times New Roman" w:hAnsi="Times New Roman" w:cs="Times New Roman"/>
                <w:sz w:val="16"/>
                <w:szCs w:val="16"/>
              </w:rPr>
            </w:pPr>
            <w:r w:rsidRPr="00AA6C19">
              <w:rPr>
                <w:rFonts w:ascii="Times New Roman" w:hAnsi="Times New Roman" w:cs="Times New Roman"/>
                <w:sz w:val="16"/>
                <w:szCs w:val="16"/>
              </w:rPr>
              <w:t>y</w:t>
            </w:r>
          </w:p>
        </w:tc>
        <w:tc>
          <w:tcPr>
            <w:tcW w:w="661" w:type="dxa"/>
          </w:tcPr>
          <w:p w:rsidR="008405DB" w:rsidRPr="00AA6C19" w:rsidRDefault="008405DB" w:rsidP="00E412D5">
            <w:pPr>
              <w:jc w:val="center"/>
              <w:rPr>
                <w:rFonts w:ascii="Times New Roman" w:hAnsi="Times New Roman" w:cs="Times New Roman"/>
                <w:sz w:val="16"/>
                <w:szCs w:val="16"/>
              </w:rPr>
            </w:pPr>
            <w:r>
              <w:rPr>
                <w:sz w:val="16"/>
                <w:szCs w:val="16"/>
              </w:rPr>
              <w:t>0.4089</w:t>
            </w:r>
          </w:p>
        </w:tc>
        <w:tc>
          <w:tcPr>
            <w:tcW w:w="661" w:type="dxa"/>
          </w:tcPr>
          <w:p w:rsidR="008405DB" w:rsidRPr="00AA6C19" w:rsidRDefault="008405DB" w:rsidP="00E412D5">
            <w:pPr>
              <w:jc w:val="center"/>
              <w:rPr>
                <w:rFonts w:ascii="Times New Roman" w:hAnsi="Times New Roman" w:cs="Times New Roman"/>
                <w:sz w:val="16"/>
                <w:szCs w:val="16"/>
              </w:rPr>
            </w:pPr>
            <w:r>
              <w:rPr>
                <w:sz w:val="16"/>
                <w:szCs w:val="16"/>
              </w:rPr>
              <w:t>0.4060</w:t>
            </w:r>
          </w:p>
        </w:tc>
        <w:tc>
          <w:tcPr>
            <w:tcW w:w="660" w:type="dxa"/>
          </w:tcPr>
          <w:p w:rsidR="008405DB" w:rsidRPr="00AA6C19" w:rsidRDefault="008405DB" w:rsidP="00E412D5">
            <w:pPr>
              <w:jc w:val="center"/>
              <w:rPr>
                <w:rFonts w:ascii="Times New Roman" w:hAnsi="Times New Roman" w:cs="Times New Roman"/>
                <w:sz w:val="16"/>
                <w:szCs w:val="16"/>
              </w:rPr>
            </w:pPr>
            <w:r>
              <w:rPr>
                <w:sz w:val="16"/>
                <w:szCs w:val="16"/>
              </w:rPr>
              <w:t>0.3946</w:t>
            </w:r>
          </w:p>
        </w:tc>
        <w:tc>
          <w:tcPr>
            <w:tcW w:w="660" w:type="dxa"/>
          </w:tcPr>
          <w:p w:rsidR="008405DB" w:rsidRPr="00AA6C19" w:rsidRDefault="008405DB" w:rsidP="00E412D5">
            <w:pPr>
              <w:jc w:val="center"/>
              <w:rPr>
                <w:rFonts w:ascii="Times New Roman" w:hAnsi="Times New Roman" w:cs="Times New Roman"/>
                <w:sz w:val="16"/>
                <w:szCs w:val="16"/>
              </w:rPr>
            </w:pPr>
            <w:r>
              <w:rPr>
                <w:sz w:val="16"/>
                <w:szCs w:val="16"/>
              </w:rPr>
              <w:t>0.3868</w:t>
            </w:r>
          </w:p>
        </w:tc>
        <w:tc>
          <w:tcPr>
            <w:tcW w:w="660" w:type="dxa"/>
          </w:tcPr>
          <w:p w:rsidR="008405DB" w:rsidRPr="00AA6C19" w:rsidRDefault="008405DB" w:rsidP="00E412D5">
            <w:pPr>
              <w:jc w:val="center"/>
              <w:rPr>
                <w:rFonts w:ascii="Times New Roman" w:hAnsi="Times New Roman" w:cs="Times New Roman"/>
                <w:sz w:val="16"/>
                <w:szCs w:val="16"/>
              </w:rPr>
            </w:pPr>
            <w:r>
              <w:rPr>
                <w:sz w:val="16"/>
                <w:szCs w:val="16"/>
              </w:rPr>
              <w:t>0.3545</w:t>
            </w:r>
          </w:p>
        </w:tc>
        <w:tc>
          <w:tcPr>
            <w:tcW w:w="662" w:type="dxa"/>
          </w:tcPr>
          <w:p w:rsidR="008405DB" w:rsidRPr="00AA6C19" w:rsidRDefault="008405DB" w:rsidP="00E412D5">
            <w:pPr>
              <w:jc w:val="center"/>
              <w:rPr>
                <w:rFonts w:ascii="Times New Roman" w:hAnsi="Times New Roman" w:cs="Times New Roman"/>
                <w:sz w:val="16"/>
                <w:szCs w:val="16"/>
              </w:rPr>
            </w:pPr>
            <w:r>
              <w:rPr>
                <w:sz w:val="16"/>
                <w:szCs w:val="16"/>
              </w:rPr>
              <w:t>0.3287</w:t>
            </w:r>
            <w:r w:rsidRPr="00AA6C19">
              <w:rPr>
                <w:sz w:val="16"/>
                <w:szCs w:val="16"/>
              </w:rPr>
              <w:t xml:space="preserve"> </w:t>
            </w:r>
          </w:p>
        </w:tc>
      </w:tr>
      <w:tr w:rsidR="008405DB" w:rsidTr="00C956CB">
        <w:tc>
          <w:tcPr>
            <w:tcW w:w="776" w:type="dxa"/>
            <w:shd w:val="pct10" w:color="auto" w:fill="auto"/>
          </w:tcPr>
          <w:p w:rsidR="008405DB" w:rsidRPr="00AA6C19" w:rsidRDefault="008405DB" w:rsidP="00E412D5">
            <w:pPr>
              <w:jc w:val="center"/>
              <w:rPr>
                <w:rFonts w:ascii="Times New Roman" w:hAnsi="Times New Roman" w:cs="Times New Roman"/>
                <w:sz w:val="16"/>
                <w:szCs w:val="16"/>
              </w:rPr>
            </w:pPr>
            <w:r w:rsidRPr="00AA6C19">
              <w:rPr>
                <w:rFonts w:ascii="Times New Roman" w:hAnsi="Times New Roman" w:cs="Times New Roman"/>
                <w:sz w:val="16"/>
                <w:szCs w:val="16"/>
              </w:rPr>
              <w:t>u’</w:t>
            </w:r>
          </w:p>
        </w:tc>
        <w:tc>
          <w:tcPr>
            <w:tcW w:w="661" w:type="dxa"/>
          </w:tcPr>
          <w:p w:rsidR="008405DB" w:rsidRPr="00AA6C19" w:rsidRDefault="008405DB" w:rsidP="00E412D5">
            <w:pPr>
              <w:jc w:val="center"/>
              <w:rPr>
                <w:rFonts w:ascii="Times New Roman" w:hAnsi="Times New Roman" w:cs="Times New Roman"/>
                <w:sz w:val="16"/>
                <w:szCs w:val="16"/>
              </w:rPr>
            </w:pPr>
            <w:r>
              <w:rPr>
                <w:sz w:val="16"/>
                <w:szCs w:val="16"/>
              </w:rPr>
              <w:t>0.2625</w:t>
            </w:r>
          </w:p>
        </w:tc>
        <w:tc>
          <w:tcPr>
            <w:tcW w:w="661" w:type="dxa"/>
          </w:tcPr>
          <w:p w:rsidR="008405DB" w:rsidRPr="00AA6C19" w:rsidRDefault="008405DB" w:rsidP="00E412D5">
            <w:pPr>
              <w:jc w:val="center"/>
              <w:rPr>
                <w:rFonts w:ascii="Times New Roman" w:hAnsi="Times New Roman" w:cs="Times New Roman"/>
                <w:sz w:val="16"/>
                <w:szCs w:val="16"/>
              </w:rPr>
            </w:pPr>
            <w:r>
              <w:rPr>
                <w:sz w:val="16"/>
                <w:szCs w:val="16"/>
              </w:rPr>
              <w:t>0.2499</w:t>
            </w:r>
          </w:p>
        </w:tc>
        <w:tc>
          <w:tcPr>
            <w:tcW w:w="660" w:type="dxa"/>
          </w:tcPr>
          <w:p w:rsidR="008405DB" w:rsidRPr="00AA6C19" w:rsidRDefault="008405DB" w:rsidP="00E412D5">
            <w:pPr>
              <w:jc w:val="center"/>
              <w:rPr>
                <w:rFonts w:ascii="Times New Roman" w:hAnsi="Times New Roman" w:cs="Times New Roman"/>
                <w:sz w:val="16"/>
                <w:szCs w:val="16"/>
              </w:rPr>
            </w:pPr>
            <w:r>
              <w:rPr>
                <w:sz w:val="16"/>
                <w:szCs w:val="16"/>
              </w:rPr>
              <w:t>0.2385</w:t>
            </w:r>
          </w:p>
        </w:tc>
        <w:tc>
          <w:tcPr>
            <w:tcW w:w="660" w:type="dxa"/>
          </w:tcPr>
          <w:p w:rsidR="008405DB" w:rsidRPr="00AA6C19" w:rsidRDefault="008405DB" w:rsidP="00E412D5">
            <w:pPr>
              <w:jc w:val="center"/>
              <w:rPr>
                <w:rFonts w:ascii="Times New Roman" w:hAnsi="Times New Roman" w:cs="Times New Roman"/>
                <w:sz w:val="16"/>
                <w:szCs w:val="16"/>
              </w:rPr>
            </w:pPr>
            <w:r>
              <w:rPr>
                <w:sz w:val="16"/>
                <w:szCs w:val="16"/>
              </w:rPr>
              <w:t>0.2280</w:t>
            </w:r>
          </w:p>
        </w:tc>
        <w:tc>
          <w:tcPr>
            <w:tcW w:w="660" w:type="dxa"/>
          </w:tcPr>
          <w:p w:rsidR="008405DB" w:rsidRPr="00AA6C19" w:rsidRDefault="008405DB" w:rsidP="00E412D5">
            <w:pPr>
              <w:jc w:val="center"/>
              <w:rPr>
                <w:rFonts w:ascii="Times New Roman" w:hAnsi="Times New Roman" w:cs="Times New Roman"/>
                <w:sz w:val="16"/>
                <w:szCs w:val="16"/>
              </w:rPr>
            </w:pPr>
            <w:r w:rsidRPr="00AA6C19">
              <w:rPr>
                <w:sz w:val="16"/>
                <w:szCs w:val="16"/>
              </w:rPr>
              <w:t>0.</w:t>
            </w:r>
            <w:r>
              <w:rPr>
                <w:sz w:val="16"/>
                <w:szCs w:val="16"/>
              </w:rPr>
              <w:t>2119</w:t>
            </w:r>
          </w:p>
        </w:tc>
        <w:tc>
          <w:tcPr>
            <w:tcW w:w="662" w:type="dxa"/>
          </w:tcPr>
          <w:p w:rsidR="008405DB" w:rsidRPr="00AA6C19" w:rsidRDefault="008405DB" w:rsidP="00E412D5">
            <w:pPr>
              <w:jc w:val="center"/>
              <w:rPr>
                <w:rFonts w:ascii="Times New Roman" w:hAnsi="Times New Roman" w:cs="Times New Roman"/>
                <w:sz w:val="16"/>
                <w:szCs w:val="16"/>
              </w:rPr>
            </w:pPr>
            <w:r>
              <w:rPr>
                <w:sz w:val="16"/>
                <w:szCs w:val="16"/>
              </w:rPr>
              <w:t>0.1993</w:t>
            </w:r>
          </w:p>
        </w:tc>
      </w:tr>
      <w:tr w:rsidR="008405DB" w:rsidTr="00C956CB">
        <w:tc>
          <w:tcPr>
            <w:tcW w:w="776" w:type="dxa"/>
            <w:shd w:val="pct10" w:color="auto" w:fill="auto"/>
          </w:tcPr>
          <w:p w:rsidR="008405DB" w:rsidRPr="00AA6C19" w:rsidRDefault="008405DB" w:rsidP="00E412D5">
            <w:pPr>
              <w:jc w:val="center"/>
              <w:rPr>
                <w:rFonts w:ascii="Times New Roman" w:hAnsi="Times New Roman" w:cs="Times New Roman"/>
                <w:sz w:val="16"/>
                <w:szCs w:val="16"/>
              </w:rPr>
            </w:pPr>
            <w:r w:rsidRPr="00AA6C19">
              <w:rPr>
                <w:rFonts w:ascii="Times New Roman" w:hAnsi="Times New Roman" w:cs="Times New Roman"/>
                <w:sz w:val="16"/>
                <w:szCs w:val="16"/>
              </w:rPr>
              <w:t>v’</w:t>
            </w:r>
          </w:p>
        </w:tc>
        <w:tc>
          <w:tcPr>
            <w:tcW w:w="661" w:type="dxa"/>
          </w:tcPr>
          <w:p w:rsidR="008405DB" w:rsidRPr="00AA6C19" w:rsidRDefault="008405DB" w:rsidP="00E412D5">
            <w:pPr>
              <w:jc w:val="center"/>
              <w:rPr>
                <w:rFonts w:ascii="Times New Roman" w:hAnsi="Times New Roman" w:cs="Times New Roman"/>
                <w:sz w:val="16"/>
                <w:szCs w:val="16"/>
              </w:rPr>
            </w:pPr>
            <w:r>
              <w:rPr>
                <w:sz w:val="16"/>
                <w:szCs w:val="16"/>
              </w:rPr>
              <w:t>0.5265</w:t>
            </w:r>
          </w:p>
        </w:tc>
        <w:tc>
          <w:tcPr>
            <w:tcW w:w="661" w:type="dxa"/>
          </w:tcPr>
          <w:p w:rsidR="008405DB" w:rsidRPr="00AA6C19" w:rsidRDefault="008405DB" w:rsidP="00E412D5">
            <w:pPr>
              <w:jc w:val="center"/>
              <w:rPr>
                <w:rFonts w:ascii="Times New Roman" w:hAnsi="Times New Roman" w:cs="Times New Roman"/>
                <w:sz w:val="16"/>
                <w:szCs w:val="16"/>
              </w:rPr>
            </w:pPr>
            <w:r>
              <w:rPr>
                <w:sz w:val="16"/>
                <w:szCs w:val="16"/>
              </w:rPr>
              <w:t>0.5222</w:t>
            </w:r>
          </w:p>
        </w:tc>
        <w:tc>
          <w:tcPr>
            <w:tcW w:w="660" w:type="dxa"/>
          </w:tcPr>
          <w:p w:rsidR="008405DB" w:rsidRPr="00AA6C19" w:rsidRDefault="008405DB" w:rsidP="00E412D5">
            <w:pPr>
              <w:jc w:val="center"/>
              <w:rPr>
                <w:rFonts w:ascii="Times New Roman" w:hAnsi="Times New Roman" w:cs="Times New Roman"/>
                <w:sz w:val="16"/>
                <w:szCs w:val="16"/>
              </w:rPr>
            </w:pPr>
            <w:r>
              <w:rPr>
                <w:sz w:val="16"/>
                <w:szCs w:val="16"/>
              </w:rPr>
              <w:t>0.5139</w:t>
            </w:r>
          </w:p>
        </w:tc>
        <w:tc>
          <w:tcPr>
            <w:tcW w:w="660" w:type="dxa"/>
          </w:tcPr>
          <w:p w:rsidR="008405DB" w:rsidRPr="00AA6C19" w:rsidRDefault="008405DB" w:rsidP="00E412D5">
            <w:pPr>
              <w:jc w:val="center"/>
              <w:rPr>
                <w:rFonts w:ascii="Times New Roman" w:hAnsi="Times New Roman" w:cs="Times New Roman"/>
                <w:sz w:val="16"/>
                <w:szCs w:val="16"/>
              </w:rPr>
            </w:pPr>
            <w:r>
              <w:rPr>
                <w:sz w:val="16"/>
                <w:szCs w:val="16"/>
              </w:rPr>
              <w:t>0.5075</w:t>
            </w:r>
          </w:p>
        </w:tc>
        <w:tc>
          <w:tcPr>
            <w:tcW w:w="660" w:type="dxa"/>
          </w:tcPr>
          <w:p w:rsidR="008405DB" w:rsidRPr="00AA6C19" w:rsidRDefault="008405DB" w:rsidP="00E412D5">
            <w:pPr>
              <w:jc w:val="center"/>
              <w:rPr>
                <w:rFonts w:ascii="Times New Roman" w:hAnsi="Times New Roman" w:cs="Times New Roman"/>
                <w:sz w:val="16"/>
                <w:szCs w:val="16"/>
              </w:rPr>
            </w:pPr>
            <w:r>
              <w:rPr>
                <w:sz w:val="16"/>
                <w:szCs w:val="16"/>
              </w:rPr>
              <w:t>0.4864</w:t>
            </w:r>
          </w:p>
        </w:tc>
        <w:tc>
          <w:tcPr>
            <w:tcW w:w="662" w:type="dxa"/>
          </w:tcPr>
          <w:p w:rsidR="008405DB" w:rsidRPr="00AA6C19" w:rsidRDefault="008405DB" w:rsidP="00E412D5">
            <w:pPr>
              <w:jc w:val="center"/>
              <w:rPr>
                <w:rFonts w:ascii="Times New Roman" w:hAnsi="Times New Roman" w:cs="Times New Roman"/>
                <w:sz w:val="16"/>
                <w:szCs w:val="16"/>
              </w:rPr>
            </w:pPr>
            <w:r>
              <w:rPr>
                <w:sz w:val="16"/>
                <w:szCs w:val="16"/>
              </w:rPr>
              <w:t>0.4684</w:t>
            </w:r>
          </w:p>
        </w:tc>
      </w:tr>
      <w:tr w:rsidR="008405DB" w:rsidTr="00C956CB">
        <w:tc>
          <w:tcPr>
            <w:tcW w:w="776" w:type="dxa"/>
            <w:shd w:val="pct10" w:color="auto" w:fill="auto"/>
          </w:tcPr>
          <w:p w:rsidR="008405DB" w:rsidRPr="00AA6C19" w:rsidRDefault="008405DB" w:rsidP="00E412D5">
            <w:pPr>
              <w:jc w:val="center"/>
              <w:rPr>
                <w:rFonts w:ascii="Times New Roman" w:hAnsi="Times New Roman" w:cs="Times New Roman"/>
                <w:sz w:val="16"/>
                <w:szCs w:val="16"/>
              </w:rPr>
            </w:pPr>
            <w:r w:rsidRPr="00AA6C19">
              <w:rPr>
                <w:rFonts w:ascii="Times New Roman" w:hAnsi="Times New Roman" w:cs="Times New Roman"/>
                <w:sz w:val="16"/>
                <w:szCs w:val="16"/>
              </w:rPr>
              <w:t>CRI</w:t>
            </w:r>
          </w:p>
        </w:tc>
        <w:tc>
          <w:tcPr>
            <w:tcW w:w="661" w:type="dxa"/>
          </w:tcPr>
          <w:p w:rsidR="008405DB" w:rsidRPr="00AA6C19" w:rsidRDefault="008405DB" w:rsidP="00E412D5">
            <w:pPr>
              <w:jc w:val="center"/>
              <w:rPr>
                <w:rFonts w:ascii="Times New Roman" w:hAnsi="Times New Roman" w:cs="Times New Roman"/>
                <w:sz w:val="16"/>
                <w:szCs w:val="16"/>
              </w:rPr>
            </w:pPr>
            <w:r w:rsidRPr="00AA6C19">
              <w:rPr>
                <w:rFonts w:ascii="Times New Roman" w:hAnsi="Times New Roman" w:cs="Times New Roman"/>
                <w:sz w:val="16"/>
                <w:szCs w:val="16"/>
              </w:rPr>
              <w:t>97</w:t>
            </w:r>
          </w:p>
        </w:tc>
        <w:tc>
          <w:tcPr>
            <w:tcW w:w="661" w:type="dxa"/>
          </w:tcPr>
          <w:p w:rsidR="008405DB" w:rsidRPr="00AA6C19" w:rsidRDefault="008405DB" w:rsidP="00E412D5">
            <w:pPr>
              <w:jc w:val="center"/>
              <w:rPr>
                <w:rFonts w:ascii="Times New Roman" w:hAnsi="Times New Roman" w:cs="Times New Roman"/>
                <w:sz w:val="16"/>
                <w:szCs w:val="16"/>
              </w:rPr>
            </w:pPr>
            <w:r w:rsidRPr="00AA6C19">
              <w:rPr>
                <w:rFonts w:ascii="Times New Roman" w:hAnsi="Times New Roman" w:cs="Times New Roman"/>
                <w:sz w:val="16"/>
                <w:szCs w:val="16"/>
              </w:rPr>
              <w:t>97</w:t>
            </w:r>
          </w:p>
        </w:tc>
        <w:tc>
          <w:tcPr>
            <w:tcW w:w="660" w:type="dxa"/>
          </w:tcPr>
          <w:p w:rsidR="008405DB" w:rsidRPr="00AA6C19" w:rsidRDefault="008405DB" w:rsidP="00E412D5">
            <w:pPr>
              <w:jc w:val="center"/>
              <w:rPr>
                <w:rFonts w:ascii="Times New Roman" w:hAnsi="Times New Roman" w:cs="Times New Roman"/>
                <w:sz w:val="16"/>
                <w:szCs w:val="16"/>
              </w:rPr>
            </w:pPr>
            <w:r w:rsidRPr="00AA6C19">
              <w:rPr>
                <w:rFonts w:ascii="Times New Roman" w:hAnsi="Times New Roman" w:cs="Times New Roman"/>
                <w:sz w:val="16"/>
                <w:szCs w:val="16"/>
              </w:rPr>
              <w:t>97</w:t>
            </w:r>
          </w:p>
        </w:tc>
        <w:tc>
          <w:tcPr>
            <w:tcW w:w="660" w:type="dxa"/>
          </w:tcPr>
          <w:p w:rsidR="008405DB" w:rsidRPr="00AA6C19" w:rsidRDefault="008405DB" w:rsidP="00E412D5">
            <w:pPr>
              <w:jc w:val="center"/>
              <w:rPr>
                <w:rFonts w:ascii="Times New Roman" w:hAnsi="Times New Roman" w:cs="Times New Roman"/>
                <w:sz w:val="16"/>
                <w:szCs w:val="16"/>
              </w:rPr>
            </w:pPr>
            <w:r w:rsidRPr="00AA6C19">
              <w:rPr>
                <w:rFonts w:ascii="Times New Roman" w:hAnsi="Times New Roman" w:cs="Times New Roman"/>
                <w:sz w:val="16"/>
                <w:szCs w:val="16"/>
              </w:rPr>
              <w:t>98</w:t>
            </w:r>
          </w:p>
        </w:tc>
        <w:tc>
          <w:tcPr>
            <w:tcW w:w="660" w:type="dxa"/>
          </w:tcPr>
          <w:p w:rsidR="008405DB" w:rsidRPr="00AA6C19" w:rsidRDefault="008405DB" w:rsidP="00E412D5">
            <w:pPr>
              <w:jc w:val="center"/>
              <w:rPr>
                <w:rFonts w:ascii="Times New Roman" w:hAnsi="Times New Roman" w:cs="Times New Roman"/>
                <w:sz w:val="16"/>
                <w:szCs w:val="16"/>
              </w:rPr>
            </w:pPr>
            <w:r w:rsidRPr="00AA6C19">
              <w:rPr>
                <w:rFonts w:ascii="Times New Roman" w:hAnsi="Times New Roman" w:cs="Times New Roman"/>
                <w:sz w:val="16"/>
                <w:szCs w:val="16"/>
              </w:rPr>
              <w:t>97</w:t>
            </w:r>
          </w:p>
        </w:tc>
        <w:tc>
          <w:tcPr>
            <w:tcW w:w="662" w:type="dxa"/>
          </w:tcPr>
          <w:p w:rsidR="008405DB" w:rsidRPr="00AA6C19" w:rsidRDefault="008405DB" w:rsidP="00E412D5">
            <w:pPr>
              <w:jc w:val="center"/>
              <w:rPr>
                <w:rFonts w:ascii="Times New Roman" w:hAnsi="Times New Roman" w:cs="Times New Roman"/>
                <w:sz w:val="16"/>
                <w:szCs w:val="16"/>
              </w:rPr>
            </w:pPr>
            <w:r w:rsidRPr="00AA6C19">
              <w:rPr>
                <w:rFonts w:ascii="Times New Roman" w:hAnsi="Times New Roman" w:cs="Times New Roman"/>
                <w:sz w:val="16"/>
                <w:szCs w:val="16"/>
              </w:rPr>
              <w:t>96</w:t>
            </w:r>
          </w:p>
        </w:tc>
      </w:tr>
    </w:tbl>
    <w:p w:rsidR="00823138" w:rsidRDefault="00823138" w:rsidP="00823138">
      <w:pPr>
        <w:pStyle w:val="Wcicienormalne"/>
      </w:pPr>
    </w:p>
    <w:p w:rsidR="000974C7" w:rsidRDefault="00823138" w:rsidP="00E82C81">
      <w:pPr>
        <w:pStyle w:val="Wcicienormalne"/>
      </w:pPr>
      <w:r>
        <w:t>Contemporary, conception of human centric lighti</w:t>
      </w:r>
      <w:r w:rsidR="00406C60">
        <w:t xml:space="preserve">ng become more and more popular. The idea is based on “tailored light”, which is adequate to specific time of the day. The goal of this, is to make artificial light the most similar to the sunlight </w:t>
      </w:r>
      <w:r>
        <w:t>and</w:t>
      </w:r>
      <w:r w:rsidR="00406C60">
        <w:t xml:space="preserve"> keep natural biological rhythm of the day.</w:t>
      </w:r>
      <w:r w:rsidR="00BD57AA">
        <w:t xml:space="preserve"> On the other hand, such a dynamic light might be supportive to boost alertness and concertation when needed or help in relaxation and falling sleep to support fast recovery. Thus, </w:t>
      </w:r>
      <w:r>
        <w:t>stimulation by light is an integral point of this idea. For that reason, special LEDs with increased radiation around 480 nm were developed (see Fig. 5 and Table 5). In this case, additional light radiated around maximum of melanopsine sensitivity will influence on melatonin secretion. Such light will improve alertness and might be perceived as energizing. Nevertheless, it is important to mention that irresponsible use of such light might bring negative effect on human body.</w:t>
      </w:r>
    </w:p>
    <w:p w:rsidR="0007125A" w:rsidRDefault="001D025C" w:rsidP="00FC5D7A">
      <w:pPr>
        <w:pStyle w:val="Wcicienormalne"/>
      </w:pPr>
      <w:r>
        <w:rPr>
          <w:noProof/>
          <w:lang w:val="pl-PL"/>
        </w:rPr>
        <w:lastRenderedPageBreak/>
        <w:drawing>
          <wp:inline distT="0" distB="0" distL="0" distR="0" wp14:anchorId="70C6FC6B" wp14:editId="0BA4F8A2">
            <wp:extent cx="2968625" cy="1542415"/>
            <wp:effectExtent l="0" t="0" r="3175" b="63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68625" cy="1542415"/>
                    </a:xfrm>
                    <a:prstGeom prst="rect">
                      <a:avLst/>
                    </a:prstGeom>
                  </pic:spPr>
                </pic:pic>
              </a:graphicData>
            </a:graphic>
          </wp:inline>
        </w:drawing>
      </w:r>
    </w:p>
    <w:p w:rsidR="008A2E9B" w:rsidRDefault="008A2E9B" w:rsidP="008A2E9B">
      <w:pPr>
        <w:pStyle w:val="Figdescription"/>
        <w:rPr>
          <w:i w:val="0"/>
          <w:sz w:val="16"/>
          <w:szCs w:val="16"/>
        </w:rPr>
      </w:pPr>
      <w:r w:rsidRPr="00F4515B">
        <w:rPr>
          <w:i w:val="0"/>
          <w:sz w:val="16"/>
          <w:szCs w:val="16"/>
        </w:rPr>
        <w:t>Fig</w:t>
      </w:r>
      <w:r>
        <w:rPr>
          <w:i w:val="0"/>
          <w:sz w:val="16"/>
          <w:szCs w:val="16"/>
        </w:rPr>
        <w:t>.</w:t>
      </w:r>
      <w:r w:rsidRPr="00F4515B">
        <w:rPr>
          <w:i w:val="0"/>
          <w:sz w:val="16"/>
          <w:szCs w:val="16"/>
        </w:rPr>
        <w:t xml:space="preserve"> </w:t>
      </w:r>
      <w:r w:rsidR="005F0F55">
        <w:rPr>
          <w:i w:val="0"/>
          <w:sz w:val="16"/>
          <w:szCs w:val="16"/>
        </w:rPr>
        <w:t>5</w:t>
      </w:r>
      <w:r w:rsidRPr="00F4515B">
        <w:rPr>
          <w:i w:val="0"/>
          <w:sz w:val="16"/>
          <w:szCs w:val="16"/>
        </w:rPr>
        <w:t xml:space="preserve">. </w:t>
      </w:r>
      <w:r>
        <w:rPr>
          <w:i w:val="0"/>
          <w:sz w:val="16"/>
          <w:szCs w:val="16"/>
        </w:rPr>
        <w:t xml:space="preserve">The SPDs of </w:t>
      </w:r>
      <w:r w:rsidR="00823138">
        <w:rPr>
          <w:i w:val="0"/>
          <w:sz w:val="16"/>
          <w:szCs w:val="16"/>
        </w:rPr>
        <w:t>“</w:t>
      </w:r>
      <w:r>
        <w:rPr>
          <w:i w:val="0"/>
          <w:sz w:val="16"/>
          <w:szCs w:val="16"/>
        </w:rPr>
        <w:t>LEDs with additional blue light radiation in range of maximum of melatopsine sensitivity</w:t>
      </w:r>
      <w:r w:rsidR="000974C7">
        <w:rPr>
          <w:i w:val="0"/>
          <w:sz w:val="16"/>
          <w:szCs w:val="16"/>
        </w:rPr>
        <w:t xml:space="preserve"> (</w:t>
      </w:r>
      <w:r w:rsidR="000B11D6">
        <w:rPr>
          <w:i w:val="0"/>
          <w:sz w:val="16"/>
          <w:szCs w:val="16"/>
        </w:rPr>
        <w:t>energizing</w:t>
      </w:r>
      <w:r w:rsidR="000974C7">
        <w:rPr>
          <w:i w:val="0"/>
          <w:sz w:val="16"/>
          <w:szCs w:val="16"/>
        </w:rPr>
        <w:t>)</w:t>
      </w:r>
    </w:p>
    <w:p w:rsidR="00823138" w:rsidRDefault="007A762C" w:rsidP="00823138">
      <w:pPr>
        <w:pStyle w:val="Figdescription"/>
        <w:spacing w:before="100" w:beforeAutospacing="1" w:after="0"/>
        <w:rPr>
          <w:i w:val="0"/>
          <w:sz w:val="16"/>
          <w:szCs w:val="16"/>
        </w:rPr>
      </w:pPr>
      <w:r>
        <w:rPr>
          <w:i w:val="0"/>
          <w:sz w:val="16"/>
          <w:szCs w:val="16"/>
        </w:rPr>
        <w:t xml:space="preserve">Table 5. </w:t>
      </w:r>
      <w:r w:rsidR="00823138">
        <w:rPr>
          <w:i w:val="0"/>
          <w:sz w:val="16"/>
          <w:szCs w:val="16"/>
        </w:rPr>
        <w:t xml:space="preserve">The </w:t>
      </w:r>
      <w:r w:rsidR="00823138" w:rsidRPr="003B0367">
        <w:rPr>
          <w:i w:val="0"/>
          <w:sz w:val="16"/>
          <w:szCs w:val="16"/>
        </w:rPr>
        <w:t>colorimetric parameters</w:t>
      </w:r>
      <w:r w:rsidR="00823138">
        <w:rPr>
          <w:i w:val="0"/>
          <w:sz w:val="16"/>
          <w:szCs w:val="16"/>
        </w:rPr>
        <w:t xml:space="preserve"> of “energizing type” LEDs</w:t>
      </w:r>
    </w:p>
    <w:tbl>
      <w:tblPr>
        <w:tblStyle w:val="Tabela-Siatka"/>
        <w:tblW w:w="0" w:type="auto"/>
        <w:jc w:val="center"/>
        <w:tblLook w:val="04A0" w:firstRow="1" w:lastRow="0" w:firstColumn="1" w:lastColumn="0" w:noHBand="0" w:noVBand="1"/>
      </w:tblPr>
      <w:tblGrid>
        <w:gridCol w:w="608"/>
        <w:gridCol w:w="776"/>
        <w:gridCol w:w="856"/>
        <w:gridCol w:w="856"/>
        <w:gridCol w:w="736"/>
      </w:tblGrid>
      <w:tr w:rsidR="00EB591F" w:rsidTr="00EB591F">
        <w:trPr>
          <w:jc w:val="center"/>
        </w:trPr>
        <w:tc>
          <w:tcPr>
            <w:tcW w:w="608" w:type="dxa"/>
            <w:shd w:val="pct10" w:color="auto" w:fill="auto"/>
          </w:tcPr>
          <w:p w:rsidR="00EB591F" w:rsidRPr="00836B8E" w:rsidRDefault="00EB591F" w:rsidP="00E412D5">
            <w:pPr>
              <w:jc w:val="center"/>
              <w:rPr>
                <w:rFonts w:ascii="Times New Roman" w:hAnsi="Times New Roman" w:cs="Times New Roman"/>
                <w:sz w:val="16"/>
                <w:szCs w:val="16"/>
              </w:rPr>
            </w:pPr>
            <w:r w:rsidRPr="00836B8E">
              <w:rPr>
                <w:rFonts w:ascii="Times New Roman" w:hAnsi="Times New Roman" w:cs="Times New Roman"/>
                <w:sz w:val="16"/>
                <w:szCs w:val="16"/>
              </w:rPr>
              <w:t>SPD</w:t>
            </w:r>
          </w:p>
        </w:tc>
        <w:tc>
          <w:tcPr>
            <w:tcW w:w="3224" w:type="dxa"/>
            <w:gridSpan w:val="4"/>
            <w:shd w:val="pct10" w:color="auto" w:fill="auto"/>
          </w:tcPr>
          <w:p w:rsidR="00EB591F" w:rsidRPr="00836B8E" w:rsidRDefault="00EB591F" w:rsidP="00E412D5">
            <w:pPr>
              <w:jc w:val="center"/>
              <w:rPr>
                <w:rFonts w:ascii="Times New Roman" w:hAnsi="Times New Roman" w:cs="Times New Roman"/>
                <w:sz w:val="16"/>
                <w:szCs w:val="16"/>
              </w:rPr>
            </w:pPr>
            <w:r w:rsidRPr="00836B8E">
              <w:rPr>
                <w:rFonts w:ascii="Times New Roman" w:hAnsi="Times New Roman" w:cs="Times New Roman"/>
                <w:sz w:val="16"/>
                <w:szCs w:val="16"/>
              </w:rPr>
              <w:t>„Energizing</w:t>
            </w:r>
            <w:r w:rsidR="008405DB">
              <w:rPr>
                <w:rFonts w:ascii="Times New Roman" w:hAnsi="Times New Roman" w:cs="Times New Roman"/>
                <w:sz w:val="16"/>
                <w:szCs w:val="16"/>
              </w:rPr>
              <w:t xml:space="preserve"> - type</w:t>
            </w:r>
            <w:r w:rsidRPr="00836B8E">
              <w:rPr>
                <w:rFonts w:ascii="Times New Roman" w:hAnsi="Times New Roman" w:cs="Times New Roman"/>
                <w:sz w:val="16"/>
                <w:szCs w:val="16"/>
              </w:rPr>
              <w:t>”</w:t>
            </w:r>
          </w:p>
        </w:tc>
      </w:tr>
      <w:tr w:rsidR="00EB591F" w:rsidTr="00EB591F">
        <w:trPr>
          <w:jc w:val="center"/>
        </w:trPr>
        <w:tc>
          <w:tcPr>
            <w:tcW w:w="608" w:type="dxa"/>
            <w:tcBorders>
              <w:bottom w:val="single" w:sz="4" w:space="0" w:color="auto"/>
            </w:tcBorders>
            <w:shd w:val="pct10" w:color="auto" w:fill="auto"/>
          </w:tcPr>
          <w:p w:rsidR="00EB591F" w:rsidRPr="00836B8E" w:rsidRDefault="00EB591F" w:rsidP="00E412D5">
            <w:pPr>
              <w:jc w:val="center"/>
              <w:rPr>
                <w:rFonts w:ascii="Times New Roman" w:hAnsi="Times New Roman" w:cs="Times New Roman"/>
                <w:sz w:val="16"/>
                <w:szCs w:val="16"/>
              </w:rPr>
            </w:pPr>
            <w:r w:rsidRPr="00836B8E">
              <w:rPr>
                <w:rFonts w:ascii="Times New Roman" w:hAnsi="Times New Roman" w:cs="Times New Roman"/>
                <w:sz w:val="16"/>
                <w:szCs w:val="16"/>
              </w:rPr>
              <w:t>CCT</w:t>
            </w:r>
          </w:p>
        </w:tc>
        <w:tc>
          <w:tcPr>
            <w:tcW w:w="776" w:type="dxa"/>
            <w:shd w:val="pct10" w:color="auto" w:fill="auto"/>
          </w:tcPr>
          <w:p w:rsidR="00EB591F" w:rsidRPr="00836B8E" w:rsidRDefault="00EB591F" w:rsidP="00E412D5">
            <w:pPr>
              <w:jc w:val="center"/>
              <w:rPr>
                <w:rFonts w:ascii="Times New Roman" w:hAnsi="Times New Roman" w:cs="Times New Roman"/>
                <w:sz w:val="16"/>
                <w:szCs w:val="16"/>
              </w:rPr>
            </w:pPr>
            <w:r w:rsidRPr="00836B8E">
              <w:rPr>
                <w:rFonts w:ascii="Times New Roman" w:hAnsi="Times New Roman" w:cs="Times New Roman"/>
                <w:sz w:val="16"/>
                <w:szCs w:val="16"/>
              </w:rPr>
              <w:t>4000K</w:t>
            </w:r>
          </w:p>
        </w:tc>
        <w:tc>
          <w:tcPr>
            <w:tcW w:w="856" w:type="dxa"/>
            <w:shd w:val="pct10" w:color="auto" w:fill="auto"/>
          </w:tcPr>
          <w:p w:rsidR="00EB591F" w:rsidRPr="00836B8E" w:rsidRDefault="00EB591F" w:rsidP="00E412D5">
            <w:pPr>
              <w:jc w:val="center"/>
              <w:rPr>
                <w:rFonts w:ascii="Times New Roman" w:hAnsi="Times New Roman" w:cs="Times New Roman"/>
                <w:sz w:val="16"/>
                <w:szCs w:val="16"/>
              </w:rPr>
            </w:pPr>
            <w:r w:rsidRPr="00836B8E">
              <w:rPr>
                <w:rFonts w:ascii="Times New Roman" w:hAnsi="Times New Roman" w:cs="Times New Roman"/>
                <w:sz w:val="16"/>
                <w:szCs w:val="16"/>
              </w:rPr>
              <w:t>5000K</w:t>
            </w:r>
          </w:p>
        </w:tc>
        <w:tc>
          <w:tcPr>
            <w:tcW w:w="856" w:type="dxa"/>
            <w:shd w:val="pct10" w:color="auto" w:fill="auto"/>
          </w:tcPr>
          <w:p w:rsidR="00EB591F" w:rsidRPr="00836B8E" w:rsidRDefault="00EB591F" w:rsidP="00E412D5">
            <w:pPr>
              <w:jc w:val="center"/>
              <w:rPr>
                <w:rFonts w:ascii="Times New Roman" w:hAnsi="Times New Roman" w:cs="Times New Roman"/>
                <w:sz w:val="16"/>
                <w:szCs w:val="16"/>
              </w:rPr>
            </w:pPr>
            <w:r w:rsidRPr="00836B8E">
              <w:rPr>
                <w:rFonts w:ascii="Times New Roman" w:hAnsi="Times New Roman" w:cs="Times New Roman"/>
                <w:sz w:val="16"/>
                <w:szCs w:val="16"/>
              </w:rPr>
              <w:t>5700K</w:t>
            </w:r>
          </w:p>
        </w:tc>
        <w:tc>
          <w:tcPr>
            <w:tcW w:w="736" w:type="dxa"/>
            <w:shd w:val="pct10" w:color="auto" w:fill="auto"/>
          </w:tcPr>
          <w:p w:rsidR="00EB591F" w:rsidRPr="00836B8E" w:rsidRDefault="00EB591F" w:rsidP="00E412D5">
            <w:pPr>
              <w:jc w:val="center"/>
              <w:rPr>
                <w:rFonts w:ascii="Times New Roman" w:hAnsi="Times New Roman" w:cs="Times New Roman"/>
                <w:sz w:val="16"/>
                <w:szCs w:val="16"/>
              </w:rPr>
            </w:pPr>
            <w:r w:rsidRPr="00836B8E">
              <w:rPr>
                <w:rFonts w:ascii="Times New Roman" w:hAnsi="Times New Roman" w:cs="Times New Roman"/>
                <w:sz w:val="16"/>
                <w:szCs w:val="16"/>
              </w:rPr>
              <w:t>6500K</w:t>
            </w:r>
          </w:p>
        </w:tc>
      </w:tr>
      <w:tr w:rsidR="00EB591F" w:rsidTr="00EB591F">
        <w:trPr>
          <w:jc w:val="center"/>
        </w:trPr>
        <w:tc>
          <w:tcPr>
            <w:tcW w:w="608" w:type="dxa"/>
            <w:shd w:val="pct10" w:color="auto" w:fill="auto"/>
          </w:tcPr>
          <w:p w:rsidR="00EB591F" w:rsidRPr="00836B8E" w:rsidRDefault="00EB591F" w:rsidP="00E412D5">
            <w:pPr>
              <w:jc w:val="center"/>
              <w:rPr>
                <w:rFonts w:ascii="Times New Roman" w:hAnsi="Times New Roman" w:cs="Times New Roman"/>
                <w:sz w:val="16"/>
                <w:szCs w:val="16"/>
              </w:rPr>
            </w:pPr>
            <w:r w:rsidRPr="00836B8E">
              <w:rPr>
                <w:rFonts w:ascii="Times New Roman" w:hAnsi="Times New Roman" w:cs="Times New Roman"/>
                <w:sz w:val="16"/>
                <w:szCs w:val="16"/>
              </w:rPr>
              <w:t>x</w:t>
            </w:r>
          </w:p>
        </w:tc>
        <w:tc>
          <w:tcPr>
            <w:tcW w:w="776" w:type="dxa"/>
          </w:tcPr>
          <w:p w:rsidR="00EB591F" w:rsidRPr="00836B8E" w:rsidRDefault="00EB591F" w:rsidP="00E412D5">
            <w:pPr>
              <w:jc w:val="center"/>
              <w:rPr>
                <w:rFonts w:ascii="Times New Roman" w:hAnsi="Times New Roman" w:cs="Times New Roman"/>
                <w:sz w:val="16"/>
                <w:szCs w:val="16"/>
              </w:rPr>
            </w:pPr>
            <w:r w:rsidRPr="00836B8E">
              <w:rPr>
                <w:rFonts w:ascii="Times New Roman" w:hAnsi="Times New Roman" w:cs="Times New Roman"/>
                <w:sz w:val="16"/>
                <w:szCs w:val="16"/>
              </w:rPr>
              <w:t>0.3821</w:t>
            </w:r>
          </w:p>
        </w:tc>
        <w:tc>
          <w:tcPr>
            <w:tcW w:w="856" w:type="dxa"/>
          </w:tcPr>
          <w:p w:rsidR="00EB591F" w:rsidRPr="00836B8E" w:rsidRDefault="00EB591F" w:rsidP="00E412D5">
            <w:pPr>
              <w:jc w:val="center"/>
              <w:rPr>
                <w:rFonts w:ascii="Times New Roman" w:hAnsi="Times New Roman" w:cs="Times New Roman"/>
                <w:sz w:val="16"/>
                <w:szCs w:val="16"/>
              </w:rPr>
            </w:pPr>
            <w:r>
              <w:rPr>
                <w:rFonts w:ascii="Times New Roman" w:hAnsi="Times New Roman" w:cs="Times New Roman"/>
                <w:sz w:val="16"/>
                <w:szCs w:val="16"/>
                <w:lang w:val="de-DE"/>
              </w:rPr>
              <w:t>0.3430</w:t>
            </w:r>
          </w:p>
        </w:tc>
        <w:tc>
          <w:tcPr>
            <w:tcW w:w="856" w:type="dxa"/>
          </w:tcPr>
          <w:p w:rsidR="00EB591F" w:rsidRPr="00836B8E" w:rsidRDefault="00EB591F" w:rsidP="00E412D5">
            <w:pPr>
              <w:jc w:val="center"/>
              <w:rPr>
                <w:rFonts w:ascii="Times New Roman" w:hAnsi="Times New Roman" w:cs="Times New Roman"/>
                <w:sz w:val="16"/>
                <w:szCs w:val="16"/>
              </w:rPr>
            </w:pPr>
            <w:r w:rsidRPr="00836B8E">
              <w:rPr>
                <w:rFonts w:ascii="Times New Roman" w:hAnsi="Times New Roman" w:cs="Times New Roman"/>
                <w:sz w:val="16"/>
                <w:szCs w:val="16"/>
              </w:rPr>
              <w:t>0.3267</w:t>
            </w:r>
          </w:p>
        </w:tc>
        <w:tc>
          <w:tcPr>
            <w:tcW w:w="736" w:type="dxa"/>
          </w:tcPr>
          <w:p w:rsidR="00EB591F" w:rsidRPr="00836B8E" w:rsidRDefault="00EB591F" w:rsidP="00E412D5">
            <w:pPr>
              <w:jc w:val="center"/>
              <w:rPr>
                <w:rFonts w:ascii="Times New Roman" w:hAnsi="Times New Roman" w:cs="Times New Roman"/>
                <w:sz w:val="16"/>
                <w:szCs w:val="16"/>
              </w:rPr>
            </w:pPr>
            <w:r>
              <w:rPr>
                <w:rFonts w:ascii="Times New Roman" w:hAnsi="Times New Roman" w:cs="Times New Roman"/>
                <w:sz w:val="16"/>
                <w:szCs w:val="16"/>
              </w:rPr>
              <w:t>0.3112</w:t>
            </w:r>
          </w:p>
        </w:tc>
      </w:tr>
      <w:tr w:rsidR="00EB591F" w:rsidTr="00EB591F">
        <w:trPr>
          <w:jc w:val="center"/>
        </w:trPr>
        <w:tc>
          <w:tcPr>
            <w:tcW w:w="608" w:type="dxa"/>
            <w:shd w:val="pct10" w:color="auto" w:fill="auto"/>
          </w:tcPr>
          <w:p w:rsidR="00EB591F" w:rsidRPr="00836B8E" w:rsidRDefault="00EB591F" w:rsidP="00E412D5">
            <w:pPr>
              <w:jc w:val="center"/>
              <w:rPr>
                <w:rFonts w:ascii="Times New Roman" w:hAnsi="Times New Roman" w:cs="Times New Roman"/>
                <w:sz w:val="16"/>
                <w:szCs w:val="16"/>
              </w:rPr>
            </w:pPr>
            <w:r w:rsidRPr="00836B8E">
              <w:rPr>
                <w:rFonts w:ascii="Times New Roman" w:hAnsi="Times New Roman" w:cs="Times New Roman"/>
                <w:sz w:val="16"/>
                <w:szCs w:val="16"/>
              </w:rPr>
              <w:t>y</w:t>
            </w:r>
          </w:p>
        </w:tc>
        <w:tc>
          <w:tcPr>
            <w:tcW w:w="776" w:type="dxa"/>
          </w:tcPr>
          <w:p w:rsidR="00EB591F" w:rsidRPr="00836B8E" w:rsidRDefault="00EB591F" w:rsidP="00E412D5">
            <w:pPr>
              <w:jc w:val="center"/>
              <w:rPr>
                <w:rFonts w:ascii="Times New Roman" w:hAnsi="Times New Roman" w:cs="Times New Roman"/>
                <w:sz w:val="16"/>
                <w:szCs w:val="16"/>
              </w:rPr>
            </w:pPr>
            <w:r w:rsidRPr="00836B8E">
              <w:rPr>
                <w:rFonts w:ascii="Times New Roman" w:hAnsi="Times New Roman" w:cs="Times New Roman"/>
                <w:sz w:val="16"/>
                <w:szCs w:val="16"/>
              </w:rPr>
              <w:t>0.3816</w:t>
            </w:r>
          </w:p>
        </w:tc>
        <w:tc>
          <w:tcPr>
            <w:tcW w:w="856" w:type="dxa"/>
          </w:tcPr>
          <w:p w:rsidR="00EB591F" w:rsidRPr="00836B8E" w:rsidRDefault="00EB591F" w:rsidP="00E412D5">
            <w:pPr>
              <w:jc w:val="center"/>
              <w:rPr>
                <w:rFonts w:ascii="Times New Roman" w:hAnsi="Times New Roman" w:cs="Times New Roman"/>
                <w:sz w:val="16"/>
                <w:szCs w:val="16"/>
              </w:rPr>
            </w:pPr>
            <w:r>
              <w:rPr>
                <w:rFonts w:ascii="Times New Roman" w:hAnsi="Times New Roman" w:cs="Times New Roman"/>
                <w:sz w:val="16"/>
                <w:szCs w:val="16"/>
                <w:lang w:val="de-DE"/>
              </w:rPr>
              <w:t>0.3532</w:t>
            </w:r>
          </w:p>
        </w:tc>
        <w:tc>
          <w:tcPr>
            <w:tcW w:w="856" w:type="dxa"/>
          </w:tcPr>
          <w:p w:rsidR="00EB591F" w:rsidRPr="00836B8E" w:rsidRDefault="00EB591F" w:rsidP="00E412D5">
            <w:pPr>
              <w:jc w:val="center"/>
              <w:rPr>
                <w:rFonts w:ascii="Times New Roman" w:hAnsi="Times New Roman" w:cs="Times New Roman"/>
                <w:sz w:val="16"/>
                <w:szCs w:val="16"/>
              </w:rPr>
            </w:pPr>
            <w:r w:rsidRPr="00836B8E">
              <w:rPr>
                <w:rFonts w:ascii="Times New Roman" w:hAnsi="Times New Roman" w:cs="Times New Roman"/>
                <w:sz w:val="16"/>
                <w:szCs w:val="16"/>
              </w:rPr>
              <w:t>0.3402</w:t>
            </w:r>
          </w:p>
        </w:tc>
        <w:tc>
          <w:tcPr>
            <w:tcW w:w="736" w:type="dxa"/>
          </w:tcPr>
          <w:p w:rsidR="00EB591F" w:rsidRPr="00836B8E" w:rsidRDefault="00EB591F" w:rsidP="00E412D5">
            <w:pPr>
              <w:jc w:val="center"/>
              <w:rPr>
                <w:rFonts w:ascii="Times New Roman" w:hAnsi="Times New Roman" w:cs="Times New Roman"/>
                <w:sz w:val="16"/>
                <w:szCs w:val="16"/>
              </w:rPr>
            </w:pPr>
            <w:r>
              <w:rPr>
                <w:rFonts w:ascii="Times New Roman" w:hAnsi="Times New Roman" w:cs="Times New Roman"/>
                <w:sz w:val="16"/>
                <w:szCs w:val="16"/>
              </w:rPr>
              <w:t>0.3253</w:t>
            </w:r>
          </w:p>
        </w:tc>
      </w:tr>
      <w:tr w:rsidR="00EB591F" w:rsidTr="00EB591F">
        <w:trPr>
          <w:jc w:val="center"/>
        </w:trPr>
        <w:tc>
          <w:tcPr>
            <w:tcW w:w="608" w:type="dxa"/>
            <w:shd w:val="pct10" w:color="auto" w:fill="auto"/>
          </w:tcPr>
          <w:p w:rsidR="00EB591F" w:rsidRPr="00836B8E" w:rsidRDefault="00EB591F" w:rsidP="00E412D5">
            <w:pPr>
              <w:jc w:val="center"/>
              <w:rPr>
                <w:rFonts w:ascii="Times New Roman" w:hAnsi="Times New Roman" w:cs="Times New Roman"/>
                <w:sz w:val="16"/>
                <w:szCs w:val="16"/>
              </w:rPr>
            </w:pPr>
            <w:r w:rsidRPr="00836B8E">
              <w:rPr>
                <w:rFonts w:ascii="Times New Roman" w:hAnsi="Times New Roman" w:cs="Times New Roman"/>
                <w:sz w:val="16"/>
                <w:szCs w:val="16"/>
              </w:rPr>
              <w:t>u’</w:t>
            </w:r>
          </w:p>
        </w:tc>
        <w:tc>
          <w:tcPr>
            <w:tcW w:w="776" w:type="dxa"/>
          </w:tcPr>
          <w:p w:rsidR="00EB591F" w:rsidRPr="00836B8E" w:rsidRDefault="00EB591F" w:rsidP="00E412D5">
            <w:pPr>
              <w:jc w:val="center"/>
              <w:rPr>
                <w:rFonts w:ascii="Times New Roman" w:hAnsi="Times New Roman" w:cs="Times New Roman"/>
                <w:sz w:val="16"/>
                <w:szCs w:val="16"/>
              </w:rPr>
            </w:pPr>
            <w:r w:rsidRPr="00836B8E">
              <w:rPr>
                <w:rFonts w:ascii="Times New Roman" w:hAnsi="Times New Roman" w:cs="Times New Roman"/>
                <w:sz w:val="16"/>
                <w:szCs w:val="16"/>
              </w:rPr>
              <w:t>0.2243</w:t>
            </w:r>
          </w:p>
        </w:tc>
        <w:tc>
          <w:tcPr>
            <w:tcW w:w="856" w:type="dxa"/>
          </w:tcPr>
          <w:p w:rsidR="00EB591F" w:rsidRPr="00836B8E" w:rsidRDefault="00EB591F" w:rsidP="00E412D5">
            <w:pPr>
              <w:jc w:val="center"/>
              <w:rPr>
                <w:rFonts w:ascii="Times New Roman" w:hAnsi="Times New Roman" w:cs="Times New Roman"/>
                <w:sz w:val="16"/>
                <w:szCs w:val="16"/>
              </w:rPr>
            </w:pPr>
            <w:r>
              <w:rPr>
                <w:rFonts w:ascii="Times New Roman" w:hAnsi="Times New Roman" w:cs="Times New Roman"/>
                <w:sz w:val="16"/>
                <w:szCs w:val="16"/>
              </w:rPr>
              <w:t>0.2094</w:t>
            </w:r>
          </w:p>
        </w:tc>
        <w:tc>
          <w:tcPr>
            <w:tcW w:w="856" w:type="dxa"/>
          </w:tcPr>
          <w:p w:rsidR="00EB591F" w:rsidRPr="00836B8E" w:rsidRDefault="00EB591F" w:rsidP="00E412D5">
            <w:pPr>
              <w:jc w:val="center"/>
              <w:rPr>
                <w:rFonts w:ascii="Times New Roman" w:hAnsi="Times New Roman" w:cs="Times New Roman"/>
                <w:sz w:val="16"/>
                <w:szCs w:val="16"/>
              </w:rPr>
            </w:pPr>
            <w:r w:rsidRPr="00836B8E">
              <w:rPr>
                <w:rFonts w:ascii="Times New Roman" w:hAnsi="Times New Roman" w:cs="Times New Roman"/>
                <w:sz w:val="16"/>
                <w:szCs w:val="16"/>
              </w:rPr>
              <w:t>0.2033</w:t>
            </w:r>
          </w:p>
        </w:tc>
        <w:tc>
          <w:tcPr>
            <w:tcW w:w="736" w:type="dxa"/>
          </w:tcPr>
          <w:p w:rsidR="00EB591F" w:rsidRPr="00836B8E" w:rsidRDefault="00EB591F" w:rsidP="00E412D5">
            <w:pPr>
              <w:jc w:val="center"/>
              <w:rPr>
                <w:rFonts w:ascii="Times New Roman" w:hAnsi="Times New Roman" w:cs="Times New Roman"/>
                <w:sz w:val="16"/>
                <w:szCs w:val="16"/>
              </w:rPr>
            </w:pPr>
            <w:r>
              <w:rPr>
                <w:rFonts w:ascii="Times New Roman" w:hAnsi="Times New Roman" w:cs="Times New Roman"/>
                <w:sz w:val="16"/>
                <w:szCs w:val="16"/>
              </w:rPr>
              <w:t>0.1981</w:t>
            </w:r>
          </w:p>
        </w:tc>
      </w:tr>
      <w:tr w:rsidR="00EB591F" w:rsidTr="00EB591F">
        <w:trPr>
          <w:jc w:val="center"/>
        </w:trPr>
        <w:tc>
          <w:tcPr>
            <w:tcW w:w="608" w:type="dxa"/>
            <w:shd w:val="pct10" w:color="auto" w:fill="auto"/>
          </w:tcPr>
          <w:p w:rsidR="00EB591F" w:rsidRPr="00836B8E" w:rsidRDefault="00EB591F" w:rsidP="00E412D5">
            <w:pPr>
              <w:jc w:val="center"/>
              <w:rPr>
                <w:rFonts w:ascii="Times New Roman" w:hAnsi="Times New Roman" w:cs="Times New Roman"/>
                <w:sz w:val="16"/>
                <w:szCs w:val="16"/>
              </w:rPr>
            </w:pPr>
            <w:r w:rsidRPr="00836B8E">
              <w:rPr>
                <w:rFonts w:ascii="Times New Roman" w:hAnsi="Times New Roman" w:cs="Times New Roman"/>
                <w:sz w:val="16"/>
                <w:szCs w:val="16"/>
              </w:rPr>
              <w:t>v’</w:t>
            </w:r>
          </w:p>
        </w:tc>
        <w:tc>
          <w:tcPr>
            <w:tcW w:w="776" w:type="dxa"/>
          </w:tcPr>
          <w:p w:rsidR="00EB591F" w:rsidRPr="00836B8E" w:rsidRDefault="00EB591F" w:rsidP="00E412D5">
            <w:pPr>
              <w:jc w:val="center"/>
              <w:rPr>
                <w:rFonts w:ascii="Times New Roman" w:hAnsi="Times New Roman" w:cs="Times New Roman"/>
                <w:sz w:val="16"/>
                <w:szCs w:val="16"/>
              </w:rPr>
            </w:pPr>
            <w:r w:rsidRPr="00836B8E">
              <w:rPr>
                <w:rFonts w:ascii="Times New Roman" w:hAnsi="Times New Roman" w:cs="Times New Roman"/>
                <w:sz w:val="16"/>
                <w:szCs w:val="16"/>
              </w:rPr>
              <w:t xml:space="preserve">0.5039 </w:t>
            </w:r>
          </w:p>
        </w:tc>
        <w:tc>
          <w:tcPr>
            <w:tcW w:w="856" w:type="dxa"/>
          </w:tcPr>
          <w:p w:rsidR="00EB591F" w:rsidRPr="00836B8E" w:rsidRDefault="00EB591F" w:rsidP="00E412D5">
            <w:pPr>
              <w:jc w:val="center"/>
              <w:rPr>
                <w:rFonts w:ascii="Times New Roman" w:hAnsi="Times New Roman" w:cs="Times New Roman"/>
                <w:sz w:val="16"/>
                <w:szCs w:val="16"/>
              </w:rPr>
            </w:pPr>
            <w:r>
              <w:rPr>
                <w:rFonts w:ascii="Times New Roman" w:hAnsi="Times New Roman" w:cs="Times New Roman"/>
                <w:sz w:val="16"/>
                <w:szCs w:val="16"/>
              </w:rPr>
              <w:t>0.4851</w:t>
            </w:r>
            <w:r w:rsidRPr="00836B8E">
              <w:rPr>
                <w:rFonts w:ascii="Times New Roman" w:hAnsi="Times New Roman" w:cs="Times New Roman"/>
                <w:sz w:val="16"/>
                <w:szCs w:val="16"/>
              </w:rPr>
              <w:t xml:space="preserve">   </w:t>
            </w:r>
          </w:p>
        </w:tc>
        <w:tc>
          <w:tcPr>
            <w:tcW w:w="856" w:type="dxa"/>
          </w:tcPr>
          <w:p w:rsidR="00EB591F" w:rsidRPr="00836B8E" w:rsidRDefault="00EB591F" w:rsidP="00E412D5">
            <w:pPr>
              <w:jc w:val="center"/>
              <w:rPr>
                <w:rFonts w:ascii="Times New Roman" w:hAnsi="Times New Roman" w:cs="Times New Roman"/>
                <w:sz w:val="16"/>
                <w:szCs w:val="16"/>
              </w:rPr>
            </w:pPr>
            <w:r>
              <w:rPr>
                <w:rFonts w:ascii="Times New Roman" w:hAnsi="Times New Roman" w:cs="Times New Roman"/>
                <w:sz w:val="16"/>
                <w:szCs w:val="16"/>
              </w:rPr>
              <w:t>0.4762</w:t>
            </w:r>
            <w:r w:rsidRPr="00836B8E">
              <w:rPr>
                <w:rFonts w:ascii="Times New Roman" w:hAnsi="Times New Roman" w:cs="Times New Roman"/>
                <w:sz w:val="16"/>
                <w:szCs w:val="16"/>
              </w:rPr>
              <w:t xml:space="preserve">   </w:t>
            </w:r>
          </w:p>
        </w:tc>
        <w:tc>
          <w:tcPr>
            <w:tcW w:w="736" w:type="dxa"/>
          </w:tcPr>
          <w:p w:rsidR="00EB591F" w:rsidRPr="00836B8E" w:rsidRDefault="00EB591F" w:rsidP="00E412D5">
            <w:pPr>
              <w:jc w:val="center"/>
              <w:rPr>
                <w:rFonts w:ascii="Times New Roman" w:hAnsi="Times New Roman" w:cs="Times New Roman"/>
                <w:sz w:val="16"/>
                <w:szCs w:val="16"/>
              </w:rPr>
            </w:pPr>
            <w:r>
              <w:rPr>
                <w:rFonts w:ascii="Times New Roman" w:hAnsi="Times New Roman" w:cs="Times New Roman"/>
                <w:sz w:val="16"/>
                <w:szCs w:val="16"/>
              </w:rPr>
              <w:t>0.4661</w:t>
            </w:r>
          </w:p>
        </w:tc>
      </w:tr>
      <w:tr w:rsidR="00EB591F" w:rsidTr="00EB591F">
        <w:trPr>
          <w:jc w:val="center"/>
        </w:trPr>
        <w:tc>
          <w:tcPr>
            <w:tcW w:w="608" w:type="dxa"/>
            <w:shd w:val="pct10" w:color="auto" w:fill="auto"/>
          </w:tcPr>
          <w:p w:rsidR="00EB591F" w:rsidRPr="00836B8E" w:rsidRDefault="00EB591F" w:rsidP="00E412D5">
            <w:pPr>
              <w:jc w:val="center"/>
              <w:rPr>
                <w:rFonts w:ascii="Times New Roman" w:hAnsi="Times New Roman" w:cs="Times New Roman"/>
                <w:sz w:val="16"/>
                <w:szCs w:val="16"/>
              </w:rPr>
            </w:pPr>
            <w:r w:rsidRPr="00836B8E">
              <w:rPr>
                <w:rFonts w:ascii="Times New Roman" w:hAnsi="Times New Roman" w:cs="Times New Roman"/>
                <w:sz w:val="16"/>
                <w:szCs w:val="16"/>
              </w:rPr>
              <w:t>CRI</w:t>
            </w:r>
          </w:p>
        </w:tc>
        <w:tc>
          <w:tcPr>
            <w:tcW w:w="776" w:type="dxa"/>
          </w:tcPr>
          <w:p w:rsidR="00EB591F" w:rsidRPr="00836B8E" w:rsidRDefault="00EB591F" w:rsidP="00E412D5">
            <w:pPr>
              <w:jc w:val="center"/>
              <w:rPr>
                <w:rFonts w:ascii="Times New Roman" w:hAnsi="Times New Roman" w:cs="Times New Roman"/>
                <w:sz w:val="16"/>
                <w:szCs w:val="16"/>
              </w:rPr>
            </w:pPr>
            <w:r w:rsidRPr="00836B8E">
              <w:rPr>
                <w:rFonts w:ascii="Times New Roman" w:hAnsi="Times New Roman" w:cs="Times New Roman"/>
                <w:sz w:val="16"/>
                <w:szCs w:val="16"/>
              </w:rPr>
              <w:t>84</w:t>
            </w:r>
          </w:p>
        </w:tc>
        <w:tc>
          <w:tcPr>
            <w:tcW w:w="856" w:type="dxa"/>
          </w:tcPr>
          <w:p w:rsidR="00EB591F" w:rsidRPr="00836B8E" w:rsidRDefault="00EB591F" w:rsidP="00E412D5">
            <w:pPr>
              <w:jc w:val="center"/>
              <w:rPr>
                <w:rFonts w:ascii="Times New Roman" w:hAnsi="Times New Roman" w:cs="Times New Roman"/>
                <w:sz w:val="16"/>
                <w:szCs w:val="16"/>
              </w:rPr>
            </w:pPr>
            <w:r w:rsidRPr="00836B8E">
              <w:rPr>
                <w:rFonts w:ascii="Times New Roman" w:hAnsi="Times New Roman" w:cs="Times New Roman"/>
                <w:sz w:val="16"/>
                <w:szCs w:val="16"/>
              </w:rPr>
              <w:t>84</w:t>
            </w:r>
          </w:p>
        </w:tc>
        <w:tc>
          <w:tcPr>
            <w:tcW w:w="856" w:type="dxa"/>
          </w:tcPr>
          <w:p w:rsidR="00EB591F" w:rsidRPr="00836B8E" w:rsidRDefault="00EB591F" w:rsidP="00E412D5">
            <w:pPr>
              <w:jc w:val="center"/>
              <w:rPr>
                <w:rFonts w:ascii="Times New Roman" w:hAnsi="Times New Roman" w:cs="Times New Roman"/>
                <w:sz w:val="16"/>
                <w:szCs w:val="16"/>
              </w:rPr>
            </w:pPr>
            <w:r w:rsidRPr="00836B8E">
              <w:rPr>
                <w:rFonts w:ascii="Times New Roman" w:hAnsi="Times New Roman" w:cs="Times New Roman"/>
                <w:sz w:val="16"/>
                <w:szCs w:val="16"/>
              </w:rPr>
              <w:t>84</w:t>
            </w:r>
          </w:p>
        </w:tc>
        <w:tc>
          <w:tcPr>
            <w:tcW w:w="736" w:type="dxa"/>
          </w:tcPr>
          <w:p w:rsidR="00EB591F" w:rsidRPr="00836B8E" w:rsidRDefault="00EB591F" w:rsidP="00E412D5">
            <w:pPr>
              <w:jc w:val="center"/>
              <w:rPr>
                <w:rFonts w:ascii="Times New Roman" w:hAnsi="Times New Roman" w:cs="Times New Roman"/>
                <w:sz w:val="16"/>
                <w:szCs w:val="16"/>
              </w:rPr>
            </w:pPr>
            <w:r w:rsidRPr="00836B8E">
              <w:rPr>
                <w:rFonts w:ascii="Times New Roman" w:hAnsi="Times New Roman" w:cs="Times New Roman"/>
                <w:sz w:val="16"/>
                <w:szCs w:val="16"/>
              </w:rPr>
              <w:t>84</w:t>
            </w:r>
          </w:p>
        </w:tc>
      </w:tr>
    </w:tbl>
    <w:p w:rsidR="003B0367" w:rsidRDefault="003B0367" w:rsidP="000D0388">
      <w:pPr>
        <w:pStyle w:val="Bezodstpw"/>
        <w:ind w:firstLine="202"/>
        <w:jc w:val="both"/>
        <w:rPr>
          <w:sz w:val="20"/>
          <w:szCs w:val="20"/>
          <w:lang w:val="en-US"/>
        </w:rPr>
      </w:pPr>
    </w:p>
    <w:p w:rsidR="00F44521" w:rsidRPr="00F338F5" w:rsidRDefault="00F44521" w:rsidP="000D0388">
      <w:pPr>
        <w:pStyle w:val="Bezodstpw"/>
        <w:ind w:firstLine="202"/>
        <w:jc w:val="both"/>
        <w:rPr>
          <w:sz w:val="20"/>
          <w:szCs w:val="20"/>
          <w:lang w:val="en-US"/>
        </w:rPr>
      </w:pPr>
      <w:r w:rsidRPr="00F338F5">
        <w:rPr>
          <w:sz w:val="20"/>
          <w:szCs w:val="20"/>
          <w:lang w:val="en-US"/>
        </w:rPr>
        <w:t xml:space="preserve">To compare </w:t>
      </w:r>
      <w:r w:rsidR="000D0388" w:rsidRPr="00F338F5">
        <w:rPr>
          <w:sz w:val="20"/>
          <w:szCs w:val="20"/>
          <w:lang w:val="en-US"/>
        </w:rPr>
        <w:t>circadian stimulus of different LEDs, their luminous flux was normalized to same level and then MSI factor was calculated and analyzed.</w:t>
      </w:r>
      <w:r w:rsidR="00296802" w:rsidRPr="00F338F5">
        <w:rPr>
          <w:sz w:val="20"/>
          <w:szCs w:val="20"/>
          <w:lang w:val="en-US"/>
        </w:rPr>
        <w:t xml:space="preserve"> There is clear relation between correlated color temperature of given LED (CCT) and its MSI parameter. The </w:t>
      </w:r>
      <w:r w:rsidR="00B71F96" w:rsidRPr="00F338F5">
        <w:rPr>
          <w:sz w:val="20"/>
          <w:szCs w:val="20"/>
          <w:lang w:val="en-US"/>
        </w:rPr>
        <w:t xml:space="preserve">colder light is, the higher MSI </w:t>
      </w:r>
      <w:r w:rsidR="00F07F46">
        <w:rPr>
          <w:sz w:val="20"/>
          <w:szCs w:val="20"/>
          <w:lang w:val="en-US"/>
        </w:rPr>
        <w:t>is expected</w:t>
      </w:r>
      <w:r w:rsidR="00284ABC" w:rsidRPr="00F338F5">
        <w:rPr>
          <w:sz w:val="20"/>
          <w:szCs w:val="20"/>
          <w:lang w:val="en-US"/>
        </w:rPr>
        <w:t xml:space="preserve"> (see </w:t>
      </w:r>
      <w:r w:rsidR="007A762C">
        <w:rPr>
          <w:sz w:val="20"/>
          <w:szCs w:val="20"/>
          <w:lang w:val="en-US"/>
        </w:rPr>
        <w:t>F</w:t>
      </w:r>
      <w:r w:rsidR="00284ABC" w:rsidRPr="00F338F5">
        <w:rPr>
          <w:sz w:val="20"/>
          <w:szCs w:val="20"/>
          <w:lang w:val="en-US"/>
        </w:rPr>
        <w:t xml:space="preserve">ig. </w:t>
      </w:r>
      <w:r w:rsidR="007A762C">
        <w:rPr>
          <w:sz w:val="20"/>
          <w:szCs w:val="20"/>
          <w:lang w:val="en-US"/>
        </w:rPr>
        <w:t>6</w:t>
      </w:r>
      <w:r w:rsidR="00284ABC" w:rsidRPr="00F338F5">
        <w:rPr>
          <w:sz w:val="20"/>
          <w:szCs w:val="20"/>
          <w:lang w:val="en-US"/>
        </w:rPr>
        <w:t>)</w:t>
      </w:r>
      <w:r w:rsidR="00B71F96" w:rsidRPr="00F338F5">
        <w:rPr>
          <w:sz w:val="20"/>
          <w:szCs w:val="20"/>
          <w:lang w:val="en-US"/>
        </w:rPr>
        <w:t xml:space="preserve">. In case </w:t>
      </w:r>
      <w:r w:rsidR="000B11D6" w:rsidRPr="00F338F5">
        <w:rPr>
          <w:sz w:val="20"/>
          <w:szCs w:val="20"/>
          <w:lang w:val="en-US"/>
        </w:rPr>
        <w:t xml:space="preserve">of LEDs with additional blue light content (energizing), MSI might be increased by </w:t>
      </w:r>
      <w:r w:rsidR="007A762C">
        <w:rPr>
          <w:sz w:val="20"/>
          <w:szCs w:val="20"/>
          <w:lang w:val="en-US"/>
        </w:rPr>
        <w:t>(</w:t>
      </w:r>
      <w:r w:rsidR="000B11D6" w:rsidRPr="00F338F5">
        <w:rPr>
          <w:sz w:val="20"/>
          <w:szCs w:val="20"/>
          <w:lang w:val="en-US"/>
        </w:rPr>
        <w:t>2</w:t>
      </w:r>
      <w:r w:rsidR="007A762C">
        <w:rPr>
          <w:sz w:val="20"/>
          <w:szCs w:val="20"/>
          <w:lang w:val="en-US"/>
        </w:rPr>
        <w:t>÷8)</w:t>
      </w:r>
      <w:r w:rsidR="000B11D6" w:rsidRPr="00F338F5">
        <w:rPr>
          <w:sz w:val="20"/>
          <w:szCs w:val="20"/>
          <w:lang w:val="en-US"/>
        </w:rPr>
        <w:t xml:space="preserve">% on top of standard LEDs. On the other hand, LEDs with SPD similar to sun light might bring significantly </w:t>
      </w:r>
      <w:r w:rsidR="00957114">
        <w:rPr>
          <w:sz w:val="20"/>
          <w:szCs w:val="20"/>
          <w:lang w:val="en-US"/>
        </w:rPr>
        <w:t>higher</w:t>
      </w:r>
      <w:r w:rsidR="002D19E6">
        <w:rPr>
          <w:sz w:val="20"/>
          <w:szCs w:val="20"/>
          <w:lang w:val="en-US"/>
        </w:rPr>
        <w:t xml:space="preserve"> MSI (even 14</w:t>
      </w:r>
      <w:r w:rsidR="000B11D6" w:rsidRPr="00F338F5">
        <w:rPr>
          <w:sz w:val="20"/>
          <w:szCs w:val="20"/>
          <w:lang w:val="en-US"/>
        </w:rPr>
        <w:t xml:space="preserve">% </w:t>
      </w:r>
      <w:r w:rsidR="002D19E6">
        <w:rPr>
          <w:sz w:val="20"/>
          <w:szCs w:val="20"/>
          <w:lang w:val="en-US"/>
        </w:rPr>
        <w:t>above</w:t>
      </w:r>
      <w:r w:rsidR="000B11D6" w:rsidRPr="00F338F5">
        <w:rPr>
          <w:sz w:val="20"/>
          <w:szCs w:val="20"/>
          <w:lang w:val="en-US"/>
        </w:rPr>
        <w:t xml:space="preserve"> standard LED with high CCTs). </w:t>
      </w:r>
      <w:r w:rsidR="00957114">
        <w:rPr>
          <w:sz w:val="20"/>
          <w:szCs w:val="20"/>
          <w:lang w:val="en-US"/>
        </w:rPr>
        <w:t>This trend is also relevant for lower</w:t>
      </w:r>
      <w:r w:rsidR="000B11D6" w:rsidRPr="00F338F5">
        <w:rPr>
          <w:sz w:val="20"/>
          <w:szCs w:val="20"/>
          <w:lang w:val="en-US"/>
        </w:rPr>
        <w:t xml:space="preserve"> CCTs (warm light)</w:t>
      </w:r>
      <w:r w:rsidR="00957114">
        <w:rPr>
          <w:sz w:val="20"/>
          <w:szCs w:val="20"/>
          <w:lang w:val="en-US"/>
        </w:rPr>
        <w:t>. T</w:t>
      </w:r>
      <w:r w:rsidR="000B11D6" w:rsidRPr="00F338F5">
        <w:rPr>
          <w:sz w:val="20"/>
          <w:szCs w:val="20"/>
          <w:lang w:val="en-US"/>
        </w:rPr>
        <w:t xml:space="preserve">he lowest MSI </w:t>
      </w:r>
      <w:r w:rsidR="00284ABC" w:rsidRPr="00F338F5">
        <w:rPr>
          <w:sz w:val="20"/>
          <w:szCs w:val="20"/>
          <w:lang w:val="en-US"/>
        </w:rPr>
        <w:t xml:space="preserve">is expected from standard LEDs, so this kind of light might the most useful for relax and </w:t>
      </w:r>
      <w:r w:rsidR="00957114">
        <w:rPr>
          <w:sz w:val="20"/>
          <w:szCs w:val="20"/>
          <w:lang w:val="en-US"/>
        </w:rPr>
        <w:t>it is less sleep disturbing.</w:t>
      </w:r>
    </w:p>
    <w:p w:rsidR="005F0F55" w:rsidRDefault="005F0F55" w:rsidP="000D0388">
      <w:pPr>
        <w:pStyle w:val="Bezodstpw"/>
        <w:jc w:val="both"/>
        <w:rPr>
          <w:lang w:val="en-US"/>
        </w:rPr>
      </w:pPr>
    </w:p>
    <w:p w:rsidR="005F0F55" w:rsidRDefault="00140160" w:rsidP="005541B1">
      <w:pPr>
        <w:pStyle w:val="Bezodstpw"/>
        <w:ind w:firstLine="142"/>
        <w:jc w:val="both"/>
        <w:rPr>
          <w:lang w:val="en-US"/>
        </w:rPr>
      </w:pPr>
      <w:r>
        <w:rPr>
          <w:noProof/>
          <w:lang w:eastAsia="pl-PL"/>
        </w:rPr>
        <w:drawing>
          <wp:inline distT="0" distB="0" distL="0" distR="0">
            <wp:extent cx="2870053" cy="1919306"/>
            <wp:effectExtent l="0" t="0" r="6985" b="508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2760" cy="1921116"/>
                    </a:xfrm>
                    <a:prstGeom prst="rect">
                      <a:avLst/>
                    </a:prstGeom>
                    <a:noFill/>
                    <a:ln>
                      <a:noFill/>
                    </a:ln>
                  </pic:spPr>
                </pic:pic>
              </a:graphicData>
            </a:graphic>
          </wp:inline>
        </w:drawing>
      </w:r>
    </w:p>
    <w:p w:rsidR="000D0388" w:rsidRDefault="000D0388" w:rsidP="000D0388">
      <w:pPr>
        <w:pStyle w:val="Figdescription"/>
        <w:rPr>
          <w:i w:val="0"/>
          <w:sz w:val="16"/>
          <w:szCs w:val="16"/>
        </w:rPr>
      </w:pPr>
      <w:r w:rsidRPr="00F4515B">
        <w:rPr>
          <w:i w:val="0"/>
          <w:sz w:val="16"/>
          <w:szCs w:val="16"/>
        </w:rPr>
        <w:t>Fig</w:t>
      </w:r>
      <w:r>
        <w:rPr>
          <w:i w:val="0"/>
          <w:sz w:val="16"/>
          <w:szCs w:val="16"/>
        </w:rPr>
        <w:t>.</w:t>
      </w:r>
      <w:r w:rsidRPr="00F4515B">
        <w:rPr>
          <w:i w:val="0"/>
          <w:sz w:val="16"/>
          <w:szCs w:val="16"/>
        </w:rPr>
        <w:t xml:space="preserve"> </w:t>
      </w:r>
      <w:r w:rsidR="007A762C">
        <w:rPr>
          <w:i w:val="0"/>
          <w:sz w:val="16"/>
          <w:szCs w:val="16"/>
        </w:rPr>
        <w:t>6</w:t>
      </w:r>
      <w:r w:rsidRPr="00F4515B">
        <w:rPr>
          <w:i w:val="0"/>
          <w:sz w:val="16"/>
          <w:szCs w:val="16"/>
        </w:rPr>
        <w:t xml:space="preserve">. </w:t>
      </w:r>
      <w:r>
        <w:rPr>
          <w:i w:val="0"/>
          <w:sz w:val="16"/>
          <w:szCs w:val="16"/>
        </w:rPr>
        <w:t>MSI for different white LED technology across CCT</w:t>
      </w:r>
    </w:p>
    <w:p w:rsidR="00F17804" w:rsidRDefault="00284ABC" w:rsidP="00F17804">
      <w:pPr>
        <w:pStyle w:val="Bezodstpw"/>
        <w:ind w:firstLine="142"/>
        <w:jc w:val="both"/>
        <w:rPr>
          <w:sz w:val="20"/>
          <w:szCs w:val="20"/>
          <w:lang w:val="en-GB"/>
        </w:rPr>
      </w:pPr>
      <w:r w:rsidRPr="00F338F5">
        <w:rPr>
          <w:sz w:val="20"/>
          <w:szCs w:val="20"/>
          <w:lang w:val="en-GB"/>
        </w:rPr>
        <w:t>Analysis of LEDs with same CCT, but different SPD shows a big differences in MSI parameter</w:t>
      </w:r>
      <w:r w:rsidR="00E75A60" w:rsidRPr="00F338F5">
        <w:rPr>
          <w:sz w:val="20"/>
          <w:szCs w:val="20"/>
          <w:lang w:val="en-GB"/>
        </w:rPr>
        <w:t xml:space="preserve"> (see </w:t>
      </w:r>
      <w:r w:rsidR="00ED3668">
        <w:rPr>
          <w:sz w:val="20"/>
          <w:szCs w:val="20"/>
          <w:lang w:val="en-GB"/>
        </w:rPr>
        <w:t>F</w:t>
      </w:r>
      <w:r w:rsidR="00E75A60" w:rsidRPr="00F338F5">
        <w:rPr>
          <w:sz w:val="20"/>
          <w:szCs w:val="20"/>
          <w:lang w:val="en-GB"/>
        </w:rPr>
        <w:t xml:space="preserve">ig. </w:t>
      </w:r>
      <w:r w:rsidR="00ED3668">
        <w:rPr>
          <w:sz w:val="20"/>
          <w:szCs w:val="20"/>
          <w:lang w:val="en-GB"/>
        </w:rPr>
        <w:t>7</w:t>
      </w:r>
      <w:r w:rsidR="00E75A60" w:rsidRPr="00F338F5">
        <w:rPr>
          <w:sz w:val="20"/>
          <w:szCs w:val="20"/>
          <w:lang w:val="en-GB"/>
        </w:rPr>
        <w:t>)</w:t>
      </w:r>
      <w:r w:rsidRPr="00F338F5">
        <w:rPr>
          <w:sz w:val="20"/>
          <w:szCs w:val="20"/>
          <w:lang w:val="en-GB"/>
        </w:rPr>
        <w:t xml:space="preserve">. </w:t>
      </w:r>
      <w:r w:rsidR="00E75A60" w:rsidRPr="00F338F5">
        <w:rPr>
          <w:sz w:val="20"/>
          <w:szCs w:val="20"/>
          <w:lang w:val="en-GB"/>
        </w:rPr>
        <w:t xml:space="preserve">There is 23% gap between sample 1 and 2, what brings a </w:t>
      </w:r>
      <w:r w:rsidR="00E75A60" w:rsidRPr="00F338F5">
        <w:rPr>
          <w:sz w:val="20"/>
          <w:szCs w:val="20"/>
          <w:lang w:val="en-GB"/>
        </w:rPr>
        <w:t>clear conclusion that</w:t>
      </w:r>
      <w:r w:rsidR="00B9180A" w:rsidRPr="00F338F5">
        <w:rPr>
          <w:sz w:val="20"/>
          <w:szCs w:val="20"/>
          <w:lang w:val="en-GB"/>
        </w:rPr>
        <w:t xml:space="preserve"> CCT of a light source, </w:t>
      </w:r>
      <w:r w:rsidR="00E75A60" w:rsidRPr="00F338F5">
        <w:rPr>
          <w:sz w:val="20"/>
          <w:szCs w:val="20"/>
          <w:lang w:val="en-GB"/>
        </w:rPr>
        <w:t>ev</w:t>
      </w:r>
      <w:r w:rsidR="00B9180A" w:rsidRPr="00F338F5">
        <w:rPr>
          <w:sz w:val="20"/>
          <w:szCs w:val="20"/>
          <w:lang w:val="en-GB"/>
        </w:rPr>
        <w:t>en in the</w:t>
      </w:r>
      <w:r w:rsidR="00E75A60" w:rsidRPr="00F338F5">
        <w:rPr>
          <w:sz w:val="20"/>
          <w:szCs w:val="20"/>
          <w:lang w:val="en-GB"/>
        </w:rPr>
        <w:t xml:space="preserve"> same technol</w:t>
      </w:r>
      <w:r w:rsidR="00B9180A" w:rsidRPr="00F338F5">
        <w:rPr>
          <w:sz w:val="20"/>
          <w:szCs w:val="20"/>
          <w:lang w:val="en-GB"/>
        </w:rPr>
        <w:t>ogy,</w:t>
      </w:r>
      <w:r w:rsidR="00E75A60" w:rsidRPr="00F338F5">
        <w:rPr>
          <w:sz w:val="20"/>
          <w:szCs w:val="20"/>
          <w:lang w:val="en-GB"/>
        </w:rPr>
        <w:t xml:space="preserve"> cannot be associated with </w:t>
      </w:r>
      <w:r w:rsidR="00B9180A" w:rsidRPr="00F338F5">
        <w:rPr>
          <w:sz w:val="20"/>
          <w:szCs w:val="20"/>
          <w:lang w:val="en-GB"/>
        </w:rPr>
        <w:t xml:space="preserve">melatonin secretion or influence on biological rhythm. </w:t>
      </w:r>
    </w:p>
    <w:p w:rsidR="00F17804" w:rsidRDefault="00F17804" w:rsidP="00F17804">
      <w:pPr>
        <w:pStyle w:val="Bezodstpw"/>
        <w:ind w:firstLine="142"/>
        <w:jc w:val="both"/>
        <w:rPr>
          <w:sz w:val="20"/>
          <w:szCs w:val="20"/>
          <w:lang w:val="en-GB"/>
        </w:rPr>
      </w:pPr>
      <w:r>
        <w:rPr>
          <w:sz w:val="20"/>
          <w:szCs w:val="20"/>
          <w:lang w:val="en-GB"/>
        </w:rPr>
        <w:t xml:space="preserve">Blue light shouldn’t be considered as a tread only. In fact it occurs in nature in high amount. Nevertheless, over exposition on this stimulus in wrong timing </w:t>
      </w:r>
      <w:r w:rsidR="000B503F">
        <w:rPr>
          <w:sz w:val="20"/>
          <w:szCs w:val="20"/>
          <w:lang w:val="en-GB"/>
        </w:rPr>
        <w:t>is not recommended</w:t>
      </w:r>
      <w:r>
        <w:rPr>
          <w:sz w:val="20"/>
          <w:szCs w:val="20"/>
          <w:lang w:val="en-GB"/>
        </w:rPr>
        <w:t xml:space="preserve">. </w:t>
      </w:r>
      <w:r w:rsidR="000B503F">
        <w:rPr>
          <w:sz w:val="20"/>
          <w:szCs w:val="20"/>
          <w:lang w:val="en-GB"/>
        </w:rPr>
        <w:t>The only way to control blue light pollution from artificial light sources is to limit it at application level. Thus, s</w:t>
      </w:r>
      <w:r>
        <w:rPr>
          <w:sz w:val="20"/>
          <w:szCs w:val="20"/>
          <w:lang w:val="en-GB"/>
        </w:rPr>
        <w:t>pecial attention should be</w:t>
      </w:r>
      <w:r w:rsidR="000B503F">
        <w:rPr>
          <w:sz w:val="20"/>
          <w:szCs w:val="20"/>
          <w:lang w:val="en-GB"/>
        </w:rPr>
        <w:t xml:space="preserve"> </w:t>
      </w:r>
      <w:r>
        <w:rPr>
          <w:sz w:val="20"/>
          <w:szCs w:val="20"/>
          <w:lang w:val="en-GB"/>
        </w:rPr>
        <w:t>taken wh</w:t>
      </w:r>
      <w:r w:rsidR="000B503F">
        <w:rPr>
          <w:sz w:val="20"/>
          <w:szCs w:val="20"/>
          <w:lang w:val="en-GB"/>
        </w:rPr>
        <w:t>ile choosing</w:t>
      </w:r>
      <w:r>
        <w:rPr>
          <w:sz w:val="20"/>
          <w:szCs w:val="20"/>
          <w:lang w:val="en-GB"/>
        </w:rPr>
        <w:t xml:space="preserve"> optimal light sources for given </w:t>
      </w:r>
      <w:r w:rsidR="000B503F">
        <w:rPr>
          <w:sz w:val="20"/>
          <w:szCs w:val="20"/>
          <w:lang w:val="en-GB"/>
        </w:rPr>
        <w:t xml:space="preserve">luminaire. </w:t>
      </w:r>
    </w:p>
    <w:p w:rsidR="002F056D" w:rsidRDefault="002F056D" w:rsidP="005541B1">
      <w:pPr>
        <w:pStyle w:val="Bezodstpw"/>
        <w:ind w:firstLine="142"/>
        <w:jc w:val="both"/>
        <w:rPr>
          <w:lang w:val="en-US"/>
        </w:rPr>
      </w:pPr>
    </w:p>
    <w:p w:rsidR="005F0F55" w:rsidRDefault="00284ABC" w:rsidP="00D41953">
      <w:pPr>
        <w:pStyle w:val="Bezodstpw"/>
        <w:ind w:firstLine="142"/>
        <w:jc w:val="center"/>
        <w:rPr>
          <w:lang w:val="en-US"/>
        </w:rPr>
      </w:pPr>
      <w:r>
        <w:rPr>
          <w:noProof/>
          <w:lang w:eastAsia="pl-PL"/>
        </w:rPr>
        <w:drawing>
          <wp:inline distT="0" distB="0" distL="0" distR="0" wp14:anchorId="0EB06213" wp14:editId="40EB6F4B">
            <wp:extent cx="2663917" cy="1558463"/>
            <wp:effectExtent l="0" t="0" r="3175" b="381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69670" cy="1561828"/>
                    </a:xfrm>
                    <a:prstGeom prst="rect">
                      <a:avLst/>
                    </a:prstGeom>
                  </pic:spPr>
                </pic:pic>
              </a:graphicData>
            </a:graphic>
          </wp:inline>
        </w:drawing>
      </w:r>
    </w:p>
    <w:p w:rsidR="00D07C87" w:rsidRPr="00EF37AB" w:rsidRDefault="00284ABC" w:rsidP="00EF37AB">
      <w:pPr>
        <w:pStyle w:val="Figdescription"/>
        <w:rPr>
          <w:i w:val="0"/>
          <w:sz w:val="16"/>
          <w:szCs w:val="16"/>
        </w:rPr>
      </w:pPr>
      <w:r w:rsidRPr="00F4515B">
        <w:rPr>
          <w:i w:val="0"/>
          <w:sz w:val="16"/>
          <w:szCs w:val="16"/>
        </w:rPr>
        <w:t>Fig</w:t>
      </w:r>
      <w:r>
        <w:rPr>
          <w:i w:val="0"/>
          <w:sz w:val="16"/>
          <w:szCs w:val="16"/>
        </w:rPr>
        <w:t>.</w:t>
      </w:r>
      <w:r w:rsidRPr="00F4515B">
        <w:rPr>
          <w:i w:val="0"/>
          <w:sz w:val="16"/>
          <w:szCs w:val="16"/>
        </w:rPr>
        <w:t xml:space="preserve"> </w:t>
      </w:r>
      <w:r w:rsidR="00ED3668">
        <w:rPr>
          <w:i w:val="0"/>
          <w:sz w:val="16"/>
          <w:szCs w:val="16"/>
        </w:rPr>
        <w:t>7</w:t>
      </w:r>
      <w:r w:rsidRPr="00F4515B">
        <w:rPr>
          <w:i w:val="0"/>
          <w:sz w:val="16"/>
          <w:szCs w:val="16"/>
        </w:rPr>
        <w:t xml:space="preserve">. </w:t>
      </w:r>
      <w:r w:rsidR="004E2BB7">
        <w:rPr>
          <w:i w:val="0"/>
          <w:sz w:val="16"/>
          <w:szCs w:val="16"/>
        </w:rPr>
        <w:t xml:space="preserve">The </w:t>
      </w:r>
      <w:r>
        <w:rPr>
          <w:i w:val="0"/>
          <w:sz w:val="16"/>
          <w:szCs w:val="16"/>
        </w:rPr>
        <w:t xml:space="preserve">MSI </w:t>
      </w:r>
      <w:r w:rsidR="004E2BB7">
        <w:rPr>
          <w:i w:val="0"/>
          <w:sz w:val="16"/>
          <w:szCs w:val="16"/>
        </w:rPr>
        <w:t xml:space="preserve">values </w:t>
      </w:r>
      <w:r>
        <w:rPr>
          <w:i w:val="0"/>
          <w:sz w:val="16"/>
          <w:szCs w:val="16"/>
        </w:rPr>
        <w:t xml:space="preserve">for </w:t>
      </w:r>
      <w:r w:rsidR="00ED3668">
        <w:rPr>
          <w:i w:val="0"/>
          <w:sz w:val="16"/>
          <w:szCs w:val="16"/>
        </w:rPr>
        <w:t xml:space="preserve">LEDs having the </w:t>
      </w:r>
      <w:r w:rsidR="00CC5058">
        <w:rPr>
          <w:i w:val="0"/>
          <w:sz w:val="16"/>
          <w:szCs w:val="16"/>
        </w:rPr>
        <w:t>same CCT</w:t>
      </w:r>
      <w:r w:rsidR="004E2BB7">
        <w:rPr>
          <w:i w:val="0"/>
          <w:sz w:val="16"/>
          <w:szCs w:val="16"/>
        </w:rPr>
        <w:t>=3000K</w:t>
      </w:r>
      <w:r w:rsidR="00CC5058">
        <w:rPr>
          <w:i w:val="0"/>
          <w:sz w:val="16"/>
          <w:szCs w:val="16"/>
        </w:rPr>
        <w:t xml:space="preserve"> </w:t>
      </w:r>
      <w:r w:rsidR="00ED3668">
        <w:rPr>
          <w:i w:val="0"/>
          <w:sz w:val="16"/>
          <w:szCs w:val="16"/>
        </w:rPr>
        <w:t>but</w:t>
      </w:r>
      <w:r w:rsidR="00AE6ECC">
        <w:rPr>
          <w:i w:val="0"/>
          <w:sz w:val="16"/>
          <w:szCs w:val="16"/>
        </w:rPr>
        <w:t xml:space="preserve"> different SPD</w:t>
      </w:r>
    </w:p>
    <w:p w:rsidR="00D07C87" w:rsidRDefault="00D07C87" w:rsidP="00993CB5">
      <w:pPr>
        <w:pStyle w:val="Text"/>
        <w:ind w:firstLine="0"/>
        <w:jc w:val="left"/>
        <w:rPr>
          <w:b/>
        </w:rPr>
      </w:pPr>
      <w:r w:rsidRPr="00D07C87">
        <w:rPr>
          <w:b/>
        </w:rPr>
        <w:t>References</w:t>
      </w:r>
    </w:p>
    <w:p w:rsidR="00D07C87" w:rsidRPr="00993CB5" w:rsidRDefault="00D07C87" w:rsidP="00D07C87">
      <w:pPr>
        <w:pStyle w:val="Text"/>
        <w:ind w:firstLine="144"/>
        <w:jc w:val="center"/>
        <w:rPr>
          <w:rFonts w:ascii="Times New Roman" w:hAnsi="Times New Roman"/>
          <w:b/>
          <w:sz w:val="16"/>
          <w:szCs w:val="16"/>
        </w:rPr>
      </w:pPr>
    </w:p>
    <w:p w:rsidR="00E145EA" w:rsidRDefault="00E145EA" w:rsidP="00421C50">
      <w:pPr>
        <w:pStyle w:val="Tekstpodstawowyba"/>
        <w:numPr>
          <w:ilvl w:val="0"/>
          <w:numId w:val="19"/>
        </w:numPr>
        <w:tabs>
          <w:tab w:val="right" w:pos="426"/>
          <w:tab w:val="right" w:pos="8788"/>
        </w:tabs>
        <w:spacing w:line="240" w:lineRule="auto"/>
        <w:rPr>
          <w:noProof/>
          <w:sz w:val="16"/>
          <w:szCs w:val="16"/>
          <w:lang w:val="en-US"/>
        </w:rPr>
      </w:pPr>
      <w:r>
        <w:rPr>
          <w:noProof/>
          <w:sz w:val="16"/>
          <w:szCs w:val="16"/>
          <w:lang w:val="en-US"/>
        </w:rPr>
        <w:t>C. C.</w:t>
      </w:r>
      <w:r w:rsidR="00FE6CC4" w:rsidRPr="00E145EA">
        <w:rPr>
          <w:noProof/>
          <w:sz w:val="16"/>
          <w:szCs w:val="16"/>
          <w:lang w:val="en-US"/>
        </w:rPr>
        <w:t xml:space="preserve"> Sun</w:t>
      </w:r>
      <w:r>
        <w:rPr>
          <w:noProof/>
          <w:sz w:val="16"/>
          <w:szCs w:val="16"/>
          <w:lang w:val="en-US"/>
        </w:rPr>
        <w:t xml:space="preserve">, et al., </w:t>
      </w:r>
      <w:r w:rsidRPr="00E145EA">
        <w:rPr>
          <w:noProof/>
          <w:sz w:val="16"/>
          <w:szCs w:val="16"/>
          <w:lang w:val="en-US"/>
        </w:rPr>
        <w:t>Packaging efficiency in phosphor-converted white LEDs and its impact to the limit of luminous efficacy</w:t>
      </w:r>
      <w:r>
        <w:rPr>
          <w:noProof/>
          <w:sz w:val="16"/>
          <w:szCs w:val="16"/>
          <w:lang w:val="en-US"/>
        </w:rPr>
        <w:t xml:space="preserve">, </w:t>
      </w:r>
      <w:r w:rsidRPr="00E145EA">
        <w:rPr>
          <w:noProof/>
          <w:sz w:val="16"/>
          <w:szCs w:val="16"/>
          <w:lang w:val="en-US"/>
        </w:rPr>
        <w:t>Journal of Solid State Lighting</w:t>
      </w:r>
      <w:r>
        <w:rPr>
          <w:noProof/>
          <w:sz w:val="16"/>
          <w:szCs w:val="16"/>
          <w:lang w:val="en-US"/>
        </w:rPr>
        <w:t>, 1:19, (2014).</w:t>
      </w:r>
    </w:p>
    <w:p w:rsidR="00E145EA" w:rsidRDefault="00E145EA" w:rsidP="00E145EA">
      <w:pPr>
        <w:pStyle w:val="Tekstpodstawowyba"/>
        <w:numPr>
          <w:ilvl w:val="0"/>
          <w:numId w:val="19"/>
        </w:numPr>
        <w:tabs>
          <w:tab w:val="right" w:pos="426"/>
          <w:tab w:val="right" w:pos="8788"/>
        </w:tabs>
        <w:spacing w:line="240" w:lineRule="auto"/>
        <w:rPr>
          <w:noProof/>
          <w:sz w:val="16"/>
          <w:szCs w:val="16"/>
          <w:lang w:val="en-US"/>
        </w:rPr>
      </w:pPr>
      <w:r w:rsidRPr="00E145EA">
        <w:rPr>
          <w:noProof/>
          <w:sz w:val="16"/>
          <w:szCs w:val="16"/>
          <w:lang w:val="en-US"/>
        </w:rPr>
        <w:t xml:space="preserve">M. S. Rea, M. G. Figueiro, J. D.  Bullough, </w:t>
      </w:r>
      <w:r w:rsidRPr="00E145EA">
        <w:rPr>
          <w:rFonts w:hint="eastAsia"/>
          <w:noProof/>
          <w:sz w:val="16"/>
          <w:szCs w:val="16"/>
          <w:lang w:val="en-US"/>
        </w:rPr>
        <w:t>“</w:t>
      </w:r>
      <w:r w:rsidRPr="00E145EA">
        <w:rPr>
          <w:noProof/>
          <w:sz w:val="16"/>
          <w:szCs w:val="16"/>
          <w:lang w:val="en-US"/>
        </w:rPr>
        <w:t>Circadian photobiology: An emerging framework for lighting practice and research</w:t>
      </w:r>
      <w:r w:rsidRPr="00E145EA">
        <w:rPr>
          <w:rFonts w:hint="eastAsia"/>
          <w:noProof/>
          <w:sz w:val="16"/>
          <w:szCs w:val="16"/>
          <w:lang w:val="en-US"/>
        </w:rPr>
        <w:t>”</w:t>
      </w:r>
      <w:r w:rsidRPr="00E145EA">
        <w:rPr>
          <w:noProof/>
          <w:sz w:val="16"/>
          <w:szCs w:val="16"/>
          <w:lang w:val="en-US"/>
        </w:rPr>
        <w:t>, Light Research Technology Vol. 34(3),</w:t>
      </w:r>
      <w:r w:rsidR="004A0FF0">
        <w:rPr>
          <w:noProof/>
          <w:sz w:val="16"/>
          <w:szCs w:val="16"/>
          <w:lang w:val="en-US"/>
        </w:rPr>
        <w:t xml:space="preserve"> </w:t>
      </w:r>
      <w:r w:rsidRPr="00E145EA">
        <w:rPr>
          <w:noProof/>
          <w:sz w:val="16"/>
          <w:szCs w:val="16"/>
          <w:lang w:val="en-US"/>
        </w:rPr>
        <w:t xml:space="preserve"> </w:t>
      </w:r>
      <w:r w:rsidR="004A0FF0">
        <w:rPr>
          <w:noProof/>
          <w:sz w:val="16"/>
          <w:szCs w:val="16"/>
          <w:lang w:val="en-US"/>
        </w:rPr>
        <w:t>(</w:t>
      </w:r>
      <w:r w:rsidRPr="00E145EA">
        <w:rPr>
          <w:noProof/>
          <w:sz w:val="16"/>
          <w:szCs w:val="16"/>
          <w:lang w:val="en-US"/>
        </w:rPr>
        <w:t>2002</w:t>
      </w:r>
      <w:r w:rsidR="004A0FF0">
        <w:rPr>
          <w:noProof/>
          <w:sz w:val="16"/>
          <w:szCs w:val="16"/>
          <w:lang w:val="en-US"/>
        </w:rPr>
        <w:t>)</w:t>
      </w:r>
      <w:r>
        <w:rPr>
          <w:noProof/>
          <w:sz w:val="16"/>
          <w:szCs w:val="16"/>
          <w:lang w:val="en-US"/>
        </w:rPr>
        <w:t>.</w:t>
      </w:r>
    </w:p>
    <w:p w:rsidR="00B02561" w:rsidRDefault="00B02561" w:rsidP="00E145EA">
      <w:pPr>
        <w:pStyle w:val="Tekstpodstawowyba"/>
        <w:numPr>
          <w:ilvl w:val="0"/>
          <w:numId w:val="19"/>
        </w:numPr>
        <w:tabs>
          <w:tab w:val="right" w:pos="426"/>
          <w:tab w:val="right" w:pos="8788"/>
        </w:tabs>
        <w:spacing w:line="240" w:lineRule="auto"/>
        <w:rPr>
          <w:noProof/>
          <w:sz w:val="16"/>
          <w:szCs w:val="16"/>
          <w:lang w:val="en-US"/>
        </w:rPr>
      </w:pPr>
      <w:r w:rsidRPr="000418A8">
        <w:rPr>
          <w:noProof/>
          <w:sz w:val="16"/>
          <w:szCs w:val="16"/>
          <w:lang w:val="en-US"/>
        </w:rPr>
        <w:t>I.</w:t>
      </w:r>
      <w:r>
        <w:rPr>
          <w:noProof/>
          <w:sz w:val="16"/>
          <w:szCs w:val="16"/>
          <w:lang w:val="en-US"/>
        </w:rPr>
        <w:t xml:space="preserve"> </w:t>
      </w:r>
      <w:r w:rsidRPr="000418A8">
        <w:rPr>
          <w:noProof/>
          <w:sz w:val="16"/>
          <w:szCs w:val="16"/>
          <w:lang w:val="en-US"/>
        </w:rPr>
        <w:t>Fryc, P. Jakubowski, K. Ko</w:t>
      </w:r>
      <w:r>
        <w:rPr>
          <w:noProof/>
          <w:sz w:val="16"/>
          <w:szCs w:val="16"/>
          <w:lang w:val="en-US"/>
        </w:rPr>
        <w:t>łacz,</w:t>
      </w:r>
      <w:r w:rsidRPr="000418A8">
        <w:rPr>
          <w:noProof/>
          <w:sz w:val="16"/>
          <w:szCs w:val="16"/>
          <w:lang w:val="en-US"/>
        </w:rPr>
        <w:t xml:space="preserve"> </w:t>
      </w:r>
      <w:r w:rsidRPr="005C2C2C">
        <w:rPr>
          <w:noProof/>
          <w:sz w:val="16"/>
          <w:szCs w:val="16"/>
          <w:lang w:val="en-US"/>
        </w:rPr>
        <w:t>Analysis of optical radiation parameters of compact discharge HID lamps and LED COB modules used for illuminating shop windows</w:t>
      </w:r>
      <w:r>
        <w:rPr>
          <w:noProof/>
          <w:sz w:val="16"/>
          <w:szCs w:val="16"/>
          <w:lang w:val="en-US"/>
        </w:rPr>
        <w:t xml:space="preserve">, </w:t>
      </w:r>
      <w:r w:rsidRPr="00E14005">
        <w:rPr>
          <w:noProof/>
          <w:sz w:val="16"/>
          <w:szCs w:val="16"/>
          <w:lang w:val="en-US"/>
        </w:rPr>
        <w:t xml:space="preserve">Przeglad Elektrotechniczny, R. 93, No. </w:t>
      </w:r>
      <w:r>
        <w:rPr>
          <w:noProof/>
          <w:sz w:val="16"/>
          <w:szCs w:val="16"/>
          <w:lang w:val="en-US"/>
        </w:rPr>
        <w:t>11</w:t>
      </w:r>
      <w:r w:rsidRPr="00E14005">
        <w:rPr>
          <w:noProof/>
          <w:sz w:val="16"/>
          <w:szCs w:val="16"/>
          <w:lang w:val="en-US"/>
        </w:rPr>
        <w:t>, (2017)</w:t>
      </w:r>
      <w:r>
        <w:rPr>
          <w:noProof/>
          <w:sz w:val="16"/>
          <w:szCs w:val="16"/>
          <w:lang w:val="en-US"/>
        </w:rPr>
        <w:t>.</w:t>
      </w:r>
    </w:p>
    <w:p w:rsidR="004A0FF0" w:rsidRPr="008922D6" w:rsidRDefault="004A0FF0" w:rsidP="008922D6">
      <w:pPr>
        <w:pStyle w:val="Tekstpodstawowyba"/>
        <w:numPr>
          <w:ilvl w:val="0"/>
          <w:numId w:val="19"/>
        </w:numPr>
        <w:tabs>
          <w:tab w:val="right" w:pos="426"/>
          <w:tab w:val="right" w:pos="8788"/>
        </w:tabs>
        <w:spacing w:line="240" w:lineRule="auto"/>
        <w:rPr>
          <w:noProof/>
          <w:sz w:val="16"/>
          <w:szCs w:val="16"/>
          <w:lang w:val="en-US"/>
        </w:rPr>
      </w:pPr>
      <w:r w:rsidRPr="008922D6">
        <w:rPr>
          <w:noProof/>
          <w:sz w:val="16"/>
          <w:szCs w:val="16"/>
          <w:lang w:val="en-US"/>
        </w:rPr>
        <w:t>G. C. Brainard, J. P. Hanifin, J.M. Greeson, B. Byrne, E. Gerner, D. D. Rollang, “Action spectrum for melatonin regulation in humans: evidence for a novel circadian photoreceptor”, Journal of Neuroscience vol. 21, (2001).</w:t>
      </w:r>
    </w:p>
    <w:p w:rsidR="008922D6" w:rsidRPr="008922D6" w:rsidRDefault="008922D6" w:rsidP="008922D6">
      <w:pPr>
        <w:pStyle w:val="Tekstpodstawowyba"/>
        <w:numPr>
          <w:ilvl w:val="0"/>
          <w:numId w:val="19"/>
        </w:numPr>
        <w:tabs>
          <w:tab w:val="right" w:pos="426"/>
          <w:tab w:val="right" w:pos="8788"/>
        </w:tabs>
        <w:spacing w:line="240" w:lineRule="auto"/>
        <w:rPr>
          <w:noProof/>
          <w:sz w:val="16"/>
          <w:szCs w:val="16"/>
          <w:lang w:val="en-US"/>
        </w:rPr>
      </w:pPr>
      <w:r w:rsidRPr="008922D6">
        <w:rPr>
          <w:noProof/>
          <w:sz w:val="16"/>
          <w:szCs w:val="16"/>
          <w:lang w:val="en-US"/>
        </w:rPr>
        <w:t>K. Thapan, J. Arendt, D. J. Skene, “An action spectrum for melatonin supression: evidence for a novel non-rod, non-cone photoreceptor system in humans,” Journa</w:t>
      </w:r>
      <w:r>
        <w:rPr>
          <w:noProof/>
          <w:sz w:val="16"/>
          <w:szCs w:val="16"/>
          <w:lang w:val="en-US"/>
        </w:rPr>
        <w:t>l of Physiology vol. 535, (2001).</w:t>
      </w:r>
    </w:p>
    <w:p w:rsidR="008C08E6" w:rsidRDefault="008C08E6" w:rsidP="008C08E6">
      <w:pPr>
        <w:pStyle w:val="Tekstpodstawowyba"/>
        <w:numPr>
          <w:ilvl w:val="0"/>
          <w:numId w:val="19"/>
        </w:numPr>
        <w:tabs>
          <w:tab w:val="right" w:pos="426"/>
          <w:tab w:val="right" w:pos="8788"/>
        </w:tabs>
        <w:spacing w:line="240" w:lineRule="auto"/>
        <w:rPr>
          <w:noProof/>
          <w:sz w:val="16"/>
          <w:szCs w:val="16"/>
          <w:lang w:val="en-US"/>
        </w:rPr>
      </w:pPr>
      <w:r w:rsidRPr="00E14005">
        <w:rPr>
          <w:noProof/>
          <w:sz w:val="16"/>
          <w:szCs w:val="16"/>
          <w:lang w:val="en-US"/>
        </w:rPr>
        <w:t>I.</w:t>
      </w:r>
      <w:r>
        <w:rPr>
          <w:noProof/>
          <w:sz w:val="16"/>
          <w:szCs w:val="16"/>
          <w:lang w:val="en-US"/>
        </w:rPr>
        <w:t xml:space="preserve"> </w:t>
      </w:r>
      <w:r w:rsidRPr="00E14005">
        <w:rPr>
          <w:noProof/>
          <w:sz w:val="16"/>
          <w:szCs w:val="16"/>
          <w:lang w:val="en-US"/>
        </w:rPr>
        <w:t>Fryc, J. Fryc,</w:t>
      </w:r>
      <w:r>
        <w:rPr>
          <w:noProof/>
          <w:sz w:val="16"/>
          <w:szCs w:val="16"/>
          <w:lang w:val="en-US"/>
        </w:rPr>
        <w:t xml:space="preserve"> </w:t>
      </w:r>
      <w:r w:rsidRPr="00E14005">
        <w:rPr>
          <w:noProof/>
          <w:sz w:val="16"/>
          <w:szCs w:val="16"/>
          <w:lang w:val="en-US"/>
        </w:rPr>
        <w:t>P. Jakubowski, K. A. W</w:t>
      </w:r>
      <w:r w:rsidRPr="00E14005">
        <w:rPr>
          <w:rFonts w:hint="eastAsia"/>
          <w:noProof/>
          <w:sz w:val="16"/>
          <w:szCs w:val="16"/>
          <w:lang w:val="en-US"/>
        </w:rPr>
        <w:t>ą</w:t>
      </w:r>
      <w:r w:rsidRPr="00E14005">
        <w:rPr>
          <w:noProof/>
          <w:sz w:val="16"/>
          <w:szCs w:val="16"/>
          <w:lang w:val="en-US"/>
        </w:rPr>
        <w:t>sowski, Technical, medical and legal aspects of domestic light sources photobiological safety, Przeglad Elektrotechniczny, R. 93, No. 3, (2017)</w:t>
      </w:r>
      <w:r>
        <w:rPr>
          <w:noProof/>
          <w:sz w:val="16"/>
          <w:szCs w:val="16"/>
          <w:lang w:val="en-US"/>
        </w:rPr>
        <w:t>.</w:t>
      </w:r>
    </w:p>
    <w:p w:rsidR="00B02561" w:rsidRPr="008E1628" w:rsidRDefault="00B02561" w:rsidP="008E1628">
      <w:pPr>
        <w:pStyle w:val="Tekstpodstawowyba"/>
        <w:numPr>
          <w:ilvl w:val="0"/>
          <w:numId w:val="19"/>
        </w:numPr>
        <w:tabs>
          <w:tab w:val="right" w:pos="426"/>
          <w:tab w:val="right" w:pos="8788"/>
        </w:tabs>
        <w:spacing w:line="240" w:lineRule="auto"/>
        <w:rPr>
          <w:noProof/>
          <w:sz w:val="16"/>
          <w:szCs w:val="16"/>
          <w:lang w:val="en-US"/>
        </w:rPr>
      </w:pPr>
      <w:r w:rsidRPr="008E1628">
        <w:rPr>
          <w:noProof/>
          <w:sz w:val="16"/>
          <w:szCs w:val="16"/>
          <w:lang w:val="en-US"/>
        </w:rPr>
        <w:t>J. Enzi et. al, A “Melanopic” Spectral Efficiency Function Predicts the Sensitivity of Melanopsin Photoreceptors to Polychromatic Lights  Journal of biological rhytms, Vol. 26 No. 4, (2011).</w:t>
      </w:r>
    </w:p>
    <w:p w:rsidR="00B02561" w:rsidRPr="00E8045F" w:rsidRDefault="00E8045F" w:rsidP="00E8045F">
      <w:pPr>
        <w:pStyle w:val="Tekstpodstawowyba"/>
        <w:numPr>
          <w:ilvl w:val="0"/>
          <w:numId w:val="19"/>
        </w:numPr>
        <w:tabs>
          <w:tab w:val="right" w:pos="426"/>
          <w:tab w:val="right" w:pos="8788"/>
        </w:tabs>
        <w:spacing w:line="240" w:lineRule="auto"/>
        <w:rPr>
          <w:noProof/>
          <w:sz w:val="16"/>
          <w:szCs w:val="16"/>
          <w:lang w:val="en-US"/>
        </w:rPr>
      </w:pPr>
      <w:r>
        <w:rPr>
          <w:noProof/>
          <w:sz w:val="16"/>
          <w:szCs w:val="16"/>
          <w:lang w:val="en-US"/>
        </w:rPr>
        <w:t>M. Aube, J. Roby J, M. Kocifaj, Evaluating Potential Spectral Impacts of Various Artificial Lights on Melatonin Suppression, Photosynthesis, and Star Visibility. PLOS ONE, Vol. 8, (2013)</w:t>
      </w:r>
      <w:r w:rsidR="00565460">
        <w:rPr>
          <w:noProof/>
          <w:sz w:val="16"/>
          <w:szCs w:val="16"/>
          <w:lang w:val="en-US"/>
        </w:rPr>
        <w:t>.</w:t>
      </w:r>
    </w:p>
    <w:p w:rsidR="00B02561" w:rsidRDefault="00B02561" w:rsidP="00E8045F">
      <w:pPr>
        <w:pStyle w:val="Tekstpodstawowyba"/>
        <w:numPr>
          <w:ilvl w:val="0"/>
          <w:numId w:val="19"/>
        </w:numPr>
        <w:tabs>
          <w:tab w:val="right" w:pos="426"/>
          <w:tab w:val="right" w:pos="8788"/>
        </w:tabs>
        <w:spacing w:line="240" w:lineRule="auto"/>
        <w:rPr>
          <w:noProof/>
          <w:sz w:val="16"/>
          <w:szCs w:val="16"/>
          <w:lang w:val="en-US"/>
        </w:rPr>
      </w:pPr>
      <w:r w:rsidRPr="00E145EA">
        <w:rPr>
          <w:noProof/>
          <w:sz w:val="16"/>
          <w:szCs w:val="16"/>
          <w:lang w:val="en-US"/>
        </w:rPr>
        <w:t>P. Jakubowski, I. Fryc, Metrological requirements for measurements of circadian radiation, Optica Applicata, Vol. 48 Issue 4, (2018).</w:t>
      </w:r>
    </w:p>
    <w:p w:rsidR="00565460" w:rsidRDefault="008E1628" w:rsidP="00E8045F">
      <w:pPr>
        <w:pStyle w:val="Tekstpodstawowyba"/>
        <w:numPr>
          <w:ilvl w:val="0"/>
          <w:numId w:val="19"/>
        </w:numPr>
        <w:tabs>
          <w:tab w:val="right" w:pos="426"/>
          <w:tab w:val="right" w:pos="8788"/>
        </w:tabs>
        <w:spacing w:line="240" w:lineRule="auto"/>
        <w:rPr>
          <w:noProof/>
          <w:sz w:val="16"/>
          <w:szCs w:val="16"/>
          <w:lang w:val="en-US"/>
        </w:rPr>
      </w:pPr>
      <w:r>
        <w:rPr>
          <w:noProof/>
          <w:sz w:val="16"/>
          <w:szCs w:val="16"/>
          <w:lang w:val="en-US"/>
        </w:rPr>
        <w:t>P. Jakubowski</w:t>
      </w:r>
      <w:r w:rsidR="00565460" w:rsidRPr="00565460">
        <w:rPr>
          <w:noProof/>
          <w:sz w:val="16"/>
          <w:szCs w:val="16"/>
          <w:lang w:val="en-US"/>
        </w:rPr>
        <w:t xml:space="preserve">, </w:t>
      </w:r>
      <w:r>
        <w:rPr>
          <w:noProof/>
          <w:sz w:val="16"/>
          <w:szCs w:val="16"/>
          <w:lang w:val="en-US"/>
        </w:rPr>
        <w:t xml:space="preserve">I. </w:t>
      </w:r>
      <w:r w:rsidR="00565460" w:rsidRPr="00565460">
        <w:rPr>
          <w:noProof/>
          <w:sz w:val="16"/>
          <w:szCs w:val="16"/>
          <w:lang w:val="en-US"/>
        </w:rPr>
        <w:t>Fryc, Measurement methods of optical radiation in circadian active range, Zeszyty Naukowe Wydziału Elektrotechniki i Automatyki</w:t>
      </w:r>
      <w:r w:rsidR="00565460">
        <w:rPr>
          <w:noProof/>
          <w:sz w:val="16"/>
          <w:szCs w:val="16"/>
          <w:lang w:val="en-US"/>
        </w:rPr>
        <w:t xml:space="preserve"> Politechniki Gdańskiej, nr 54 (2017</w:t>
      </w:r>
      <w:r w:rsidR="00565460" w:rsidRPr="00565460">
        <w:rPr>
          <w:noProof/>
          <w:sz w:val="16"/>
          <w:szCs w:val="16"/>
          <w:lang w:val="en-US"/>
        </w:rPr>
        <w:t>).</w:t>
      </w:r>
    </w:p>
    <w:p w:rsidR="00637895" w:rsidRPr="00637895" w:rsidRDefault="008E1628" w:rsidP="00E8045F">
      <w:pPr>
        <w:pStyle w:val="Tekstpodstawowyba"/>
        <w:numPr>
          <w:ilvl w:val="0"/>
          <w:numId w:val="19"/>
        </w:numPr>
        <w:tabs>
          <w:tab w:val="right" w:pos="426"/>
          <w:tab w:val="right" w:pos="8788"/>
        </w:tabs>
        <w:spacing w:line="240" w:lineRule="auto"/>
        <w:rPr>
          <w:noProof/>
          <w:sz w:val="16"/>
          <w:szCs w:val="16"/>
          <w:lang w:val="en-US"/>
        </w:rPr>
      </w:pPr>
      <w:r>
        <w:rPr>
          <w:noProof/>
          <w:sz w:val="16"/>
          <w:szCs w:val="16"/>
          <w:lang w:val="en-US"/>
        </w:rPr>
        <w:t>P. Jakubowski</w:t>
      </w:r>
      <w:r w:rsidR="00637895" w:rsidRPr="00637895">
        <w:rPr>
          <w:noProof/>
          <w:sz w:val="16"/>
          <w:szCs w:val="16"/>
          <w:lang w:val="en-US"/>
        </w:rPr>
        <w:t>, Comparative analysis of light parameters of LEDs and OLEDs in context of blue light emission, Polish Journal for Sustainable Development 21 (2), (2017).</w:t>
      </w:r>
    </w:p>
    <w:p w:rsidR="00792422" w:rsidRPr="00F17804" w:rsidRDefault="0013535C" w:rsidP="00F17804">
      <w:pPr>
        <w:pStyle w:val="references0"/>
        <w:numPr>
          <w:ilvl w:val="0"/>
          <w:numId w:val="19"/>
        </w:numPr>
      </w:pPr>
      <w:r w:rsidRPr="0024725A">
        <w:t xml:space="preserve">CIE TN003:2015, “Report on the First International Workshop on Circadian and neurophysiological Photometry”, </w:t>
      </w:r>
      <w:r>
        <w:t>(</w:t>
      </w:r>
      <w:r w:rsidRPr="0024725A">
        <w:t>2015</w:t>
      </w:r>
      <w:r>
        <w:t>)</w:t>
      </w:r>
      <w:r w:rsidRPr="0024725A">
        <w:t>.</w:t>
      </w:r>
      <w:r>
        <w:t xml:space="preserve"> </w:t>
      </w:r>
    </w:p>
    <w:sectPr w:rsidR="00792422" w:rsidRPr="00F17804" w:rsidSect="003C376D">
      <w:headerReference w:type="default" r:id="rId15"/>
      <w:footerReference w:type="default" r:id="rId16"/>
      <w:footnotePr>
        <w:pos w:val="beneathText"/>
        <w:numFmt w:val="chicago"/>
      </w:footnotePr>
      <w:pgSz w:w="11907" w:h="16840" w:code="9"/>
      <w:pgMar w:top="1985" w:right="1134" w:bottom="1985" w:left="1134" w:header="1418" w:footer="1418" w:gutter="0"/>
      <w:cols w:num="2"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9E8" w:rsidRDefault="00EF39E8">
      <w:r>
        <w:separator/>
      </w:r>
    </w:p>
  </w:endnote>
  <w:endnote w:type="continuationSeparator" w:id="0">
    <w:p w:rsidR="00EF39E8" w:rsidRDefault="00EF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Użyj czcionki tekstu azjatycki">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Baskerville">
    <w:altName w:val="Courier New"/>
    <w:charset w:val="00"/>
    <w:family w:val="auto"/>
    <w:pitch w:val="variable"/>
    <w:sig w:usb0="03000000"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116" w:rsidRPr="001342F9" w:rsidRDefault="00DA7392" w:rsidP="00DA7392">
    <w:pPr>
      <w:pStyle w:val="Stopka"/>
      <w:tabs>
        <w:tab w:val="clear" w:pos="4320"/>
        <w:tab w:val="clear" w:pos="8640"/>
        <w:tab w:val="right" w:pos="9639"/>
      </w:tabs>
      <w:rPr>
        <w:rFonts w:ascii="Times New Roman" w:hAnsi="Times New Roman"/>
      </w:rPr>
    </w:pPr>
    <w:r>
      <w:rPr>
        <w:rFonts w:ascii="Times New Roman" w:hAnsi="Times New Roman"/>
      </w:rPr>
      <w:t>http://www.photonics.pl</w:t>
    </w:r>
    <w:r w:rsidR="004001B3">
      <w:rPr>
        <w:rFonts w:ascii="Times New Roman" w:hAnsi="Times New Roman"/>
      </w:rPr>
      <w:t>/PLP</w:t>
    </w:r>
    <w:r>
      <w:rPr>
        <w:rFonts w:ascii="Times New Roman" w:hAnsi="Times New Roman"/>
      </w:rPr>
      <w:tab/>
    </w:r>
    <w:r w:rsidR="001342F9" w:rsidRPr="001342F9">
      <w:rPr>
        <w:rFonts w:ascii="Times New Roman" w:hAnsi="Times New Roman"/>
      </w:rPr>
      <w:t xml:space="preserve">© </w:t>
    </w:r>
    <w:r w:rsidR="00620D38">
      <w:rPr>
        <w:rFonts w:ascii="Times New Roman" w:hAnsi="Times New Roman"/>
      </w:rPr>
      <w:t xml:space="preserve">2009 </w:t>
    </w:r>
    <w:r w:rsidR="00C67116" w:rsidRPr="001342F9">
      <w:rPr>
        <w:rFonts w:ascii="Times New Roman" w:hAnsi="Times New Roman"/>
      </w:rPr>
      <w:t>Phot</w:t>
    </w:r>
    <w:r w:rsidR="001342F9" w:rsidRPr="001342F9">
      <w:rPr>
        <w:rFonts w:ascii="Times New Roman" w:hAnsi="Times New Roman"/>
      </w:rPr>
      <w:t>onics</w:t>
    </w:r>
    <w:r w:rsidR="00C67116" w:rsidRPr="001342F9">
      <w:rPr>
        <w:rFonts w:ascii="Times New Roman" w:hAnsi="Times New Roman"/>
      </w:rPr>
      <w:t xml:space="preserve"> </w:t>
    </w:r>
    <w:r w:rsidR="001342F9" w:rsidRPr="001342F9">
      <w:rPr>
        <w:rFonts w:ascii="Times New Roman" w:hAnsi="Times New Roman"/>
      </w:rPr>
      <w:t>Soc</w:t>
    </w:r>
    <w:r w:rsidR="001342F9">
      <w:rPr>
        <w:rFonts w:ascii="Times New Roman" w:hAnsi="Times New Roman"/>
      </w:rPr>
      <w:t>i</w:t>
    </w:r>
    <w:r w:rsidR="001342F9" w:rsidRPr="001342F9">
      <w:rPr>
        <w:rFonts w:ascii="Times New Roman" w:hAnsi="Times New Roman"/>
      </w:rPr>
      <w:t xml:space="preserve">ety of </w:t>
    </w:r>
    <w:smartTag w:uri="urn:schemas-microsoft-com:office:smarttags" w:element="country-region">
      <w:smartTag w:uri="urn:schemas-microsoft-com:office:smarttags" w:element="place">
        <w:r w:rsidR="00C67116" w:rsidRPr="001342F9">
          <w:rPr>
            <w:rFonts w:ascii="Times New Roman" w:hAnsi="Times New Roman"/>
          </w:rPr>
          <w:t>Poland</w:t>
        </w:r>
      </w:smartTag>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9E8" w:rsidRDefault="00EF39E8"/>
  </w:footnote>
  <w:footnote w:type="continuationSeparator" w:id="0">
    <w:p w:rsidR="00EF39E8" w:rsidRDefault="00EF39E8">
      <w:r>
        <w:continuationSeparator/>
      </w:r>
    </w:p>
  </w:footnote>
  <w:footnote w:id="1">
    <w:p w:rsidR="00330CF3" w:rsidRPr="00EA1194" w:rsidRDefault="00330CF3" w:rsidP="00330CF3">
      <w:pPr>
        <w:pStyle w:val="Tekstprzypisudolnego"/>
        <w:rPr>
          <w:rFonts w:ascii="Times New Roman" w:hAnsi="Times New Roman"/>
          <w:lang w:val="it-IT"/>
        </w:rPr>
      </w:pPr>
      <w:r>
        <w:rPr>
          <w:rStyle w:val="Odwoanieprzypisudolnego"/>
        </w:rPr>
        <w:footnoteRef/>
      </w:r>
      <w:r w:rsidRPr="00EA1194">
        <w:rPr>
          <w:lang w:val="it-IT"/>
        </w:rPr>
        <w:t xml:space="preserve"> </w:t>
      </w:r>
      <w:r w:rsidRPr="00EA1194">
        <w:rPr>
          <w:rFonts w:ascii="Times New Roman" w:hAnsi="Times New Roman"/>
          <w:lang w:val="it-IT"/>
        </w:rPr>
        <w:t xml:space="preserve">E-mail: </w:t>
      </w:r>
      <w:r w:rsidR="00A6575F">
        <w:rPr>
          <w:rFonts w:ascii="Times New Roman" w:hAnsi="Times New Roman"/>
          <w:lang w:val="it-IT"/>
        </w:rPr>
        <w:t>piotr.7akubowski@gmai.com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402" w:rsidRPr="00DA7392" w:rsidRDefault="00E97402">
    <w:pPr>
      <w:framePr w:wrap="auto" w:vAnchor="text" w:hAnchor="margin" w:xAlign="right" w:y="1"/>
      <w:rPr>
        <w:b/>
      </w:rPr>
    </w:pPr>
    <w:r w:rsidRPr="00DA7392">
      <w:rPr>
        <w:b/>
      </w:rPr>
      <w:fldChar w:fldCharType="begin"/>
    </w:r>
    <w:r w:rsidRPr="00DA7392">
      <w:rPr>
        <w:b/>
      </w:rPr>
      <w:instrText xml:space="preserve">PAGE  </w:instrText>
    </w:r>
    <w:r w:rsidRPr="00DA7392">
      <w:rPr>
        <w:b/>
      </w:rPr>
      <w:fldChar w:fldCharType="separate"/>
    </w:r>
    <w:r w:rsidR="00E124B6">
      <w:rPr>
        <w:b/>
        <w:noProof/>
      </w:rPr>
      <w:t>1</w:t>
    </w:r>
    <w:r w:rsidRPr="00DA7392">
      <w:rPr>
        <w:b/>
      </w:rPr>
      <w:fldChar w:fldCharType="end"/>
    </w:r>
  </w:p>
  <w:p w:rsidR="00E97402" w:rsidRPr="0007554E" w:rsidRDefault="00833270" w:rsidP="00833270">
    <w:pPr>
      <w:pBdr>
        <w:bottom w:val="single" w:sz="4" w:space="1" w:color="auto"/>
      </w:pBdr>
      <w:tabs>
        <w:tab w:val="center" w:pos="4820"/>
      </w:tabs>
      <w:rPr>
        <w:rFonts w:ascii="Times New Roman" w:hAnsi="Times New Roman"/>
        <w:smallCaps/>
      </w:rPr>
    </w:pPr>
    <w:r>
      <w:rPr>
        <w:sz w:val="16"/>
        <w:szCs w:val="16"/>
      </w:rPr>
      <w:t>doi: 10.4302/plp.2010.1.xx</w:t>
    </w:r>
    <w:r>
      <w:rPr>
        <w:rFonts w:ascii="Times New Roman" w:hAnsi="Times New Roman"/>
        <w:smallCaps/>
      </w:rPr>
      <w:tab/>
    </w:r>
    <w:r w:rsidR="005D348E" w:rsidRPr="00B47B1C">
      <w:rPr>
        <w:rFonts w:ascii="Times New Roman" w:hAnsi="Times New Roman"/>
        <w:smallCaps/>
      </w:rPr>
      <w:t xml:space="preserve">Photonics Letters of </w:t>
    </w:r>
    <w:smartTag w:uri="urn:schemas-microsoft-com:office:smarttags" w:element="country-region">
      <w:smartTag w:uri="urn:schemas-microsoft-com:office:smarttags" w:element="place">
        <w:r w:rsidR="005D348E" w:rsidRPr="00B47B1C">
          <w:rPr>
            <w:rFonts w:ascii="Times New Roman" w:hAnsi="Times New Roman"/>
            <w:smallCaps/>
          </w:rPr>
          <w:t>Poland</w:t>
        </w:r>
      </w:smartTag>
    </w:smartTag>
    <w:r w:rsidR="001342F9">
      <w:rPr>
        <w:rFonts w:ascii="Times New Roman" w:hAnsi="Times New Roman"/>
        <w:smallCaps/>
      </w:rPr>
      <w:t xml:space="preserve">, vol. </w:t>
    </w:r>
    <w:r>
      <w:rPr>
        <w:rFonts w:ascii="Times New Roman" w:hAnsi="Times New Roman"/>
        <w:b/>
        <w:smallCaps/>
      </w:rPr>
      <w:t>2</w:t>
    </w:r>
    <w:r w:rsidR="001342F9">
      <w:rPr>
        <w:rFonts w:ascii="Times New Roman" w:hAnsi="Times New Roman"/>
        <w:smallCaps/>
      </w:rPr>
      <w:t xml:space="preserve"> (</w:t>
    </w:r>
    <w:r>
      <w:rPr>
        <w:rFonts w:ascii="Times New Roman" w:hAnsi="Times New Roman"/>
        <w:smallCaps/>
      </w:rPr>
      <w:t>1</w:t>
    </w:r>
    <w:r w:rsidR="001342F9">
      <w:rPr>
        <w:rFonts w:ascii="Times New Roman" w:hAnsi="Times New Roman"/>
        <w:smallCaps/>
      </w:rPr>
      <w:t xml:space="preserve">), </w:t>
    </w:r>
    <w:r w:rsidR="00EA1194">
      <w:rPr>
        <w:rFonts w:ascii="Times New Roman" w:hAnsi="Times New Roman"/>
        <w:smallCaps/>
      </w:rPr>
      <w:t>xx</w:t>
    </w:r>
    <w:r w:rsidR="00EA1194">
      <w:rPr>
        <w:rFonts w:ascii="Times New Roman" w:hAnsi="Times New Roman"/>
        <w:smallCaps/>
      </w:rPr>
      <w:noBreakHyphen/>
      <w:t>xx</w:t>
    </w:r>
    <w:r w:rsidR="001342F9">
      <w:rPr>
        <w:rFonts w:ascii="Times New Roman" w:hAnsi="Times New Roman"/>
        <w:smallCaps/>
      </w:rPr>
      <w:t xml:space="preserve"> (20</w:t>
    </w:r>
    <w:r>
      <w:rPr>
        <w:rFonts w:ascii="Times New Roman" w:hAnsi="Times New Roman"/>
        <w:smallCaps/>
      </w:rPr>
      <w:t>10</w:t>
    </w:r>
    <w:r w:rsidR="001342F9">
      <w:rPr>
        <w:rFonts w:ascii="Times New Roman" w:hAnsi="Times New Roman"/>
        <w:smallCap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E085744"/>
    <w:lvl w:ilvl="0">
      <w:start w:val="1"/>
      <w:numFmt w:val="upperRoman"/>
      <w:pStyle w:val="Nagwek1"/>
      <w:lvlText w:val="%1."/>
      <w:legacy w:legacy="1" w:legacySpace="144" w:legacyIndent="144"/>
      <w:lvlJc w:val="left"/>
    </w:lvl>
    <w:lvl w:ilvl="1">
      <w:start w:val="1"/>
      <w:numFmt w:val="upperLetter"/>
      <w:pStyle w:val="Nagwek2"/>
      <w:lvlText w:val="%2."/>
      <w:legacy w:legacy="1" w:legacySpace="144" w:legacyIndent="144"/>
      <w:lvlJc w:val="left"/>
    </w:lvl>
    <w:lvl w:ilvl="2">
      <w:start w:val="1"/>
      <w:numFmt w:val="decimal"/>
      <w:pStyle w:val="Nagwek3"/>
      <w:lvlText w:val="%3)"/>
      <w:legacy w:legacy="1" w:legacySpace="144" w:legacyIndent="144"/>
      <w:lvlJc w:val="left"/>
    </w:lvl>
    <w:lvl w:ilvl="3">
      <w:start w:val="1"/>
      <w:numFmt w:val="lowerLetter"/>
      <w:pStyle w:val="Nagwek4"/>
      <w:lvlText w:val="%4)"/>
      <w:legacy w:legacy="1" w:legacySpace="0" w:legacyIndent="720"/>
      <w:lvlJc w:val="left"/>
      <w:pPr>
        <w:ind w:left="1152" w:hanging="720"/>
      </w:pPr>
    </w:lvl>
    <w:lvl w:ilvl="4">
      <w:start w:val="1"/>
      <w:numFmt w:val="decimal"/>
      <w:pStyle w:val="Nagwek5"/>
      <w:lvlText w:val="(%5)"/>
      <w:legacy w:legacy="1" w:legacySpace="0" w:legacyIndent="720"/>
      <w:lvlJc w:val="left"/>
      <w:pPr>
        <w:ind w:left="1872" w:hanging="720"/>
      </w:pPr>
    </w:lvl>
    <w:lvl w:ilvl="5">
      <w:start w:val="1"/>
      <w:numFmt w:val="lowerLetter"/>
      <w:pStyle w:val="Nagwek6"/>
      <w:lvlText w:val="(%6)"/>
      <w:legacy w:legacy="1" w:legacySpace="0" w:legacyIndent="720"/>
      <w:lvlJc w:val="left"/>
      <w:pPr>
        <w:ind w:left="2592" w:hanging="720"/>
      </w:pPr>
    </w:lvl>
    <w:lvl w:ilvl="6">
      <w:start w:val="1"/>
      <w:numFmt w:val="lowerRoman"/>
      <w:pStyle w:val="Nagwek7"/>
      <w:lvlText w:val="(%7)"/>
      <w:legacy w:legacy="1" w:legacySpace="0" w:legacyIndent="720"/>
      <w:lvlJc w:val="left"/>
      <w:pPr>
        <w:ind w:left="3312" w:hanging="720"/>
      </w:pPr>
    </w:lvl>
    <w:lvl w:ilvl="7">
      <w:start w:val="1"/>
      <w:numFmt w:val="lowerLetter"/>
      <w:pStyle w:val="Nagwek8"/>
      <w:lvlText w:val="(%8)"/>
      <w:legacy w:legacy="1" w:legacySpace="0" w:legacyIndent="720"/>
      <w:lvlJc w:val="left"/>
      <w:pPr>
        <w:ind w:left="4032" w:hanging="720"/>
      </w:pPr>
    </w:lvl>
    <w:lvl w:ilvl="8">
      <w:start w:val="1"/>
      <w:numFmt w:val="lowerRoman"/>
      <w:pStyle w:val="Nagwek9"/>
      <w:lvlText w:val="(%9)"/>
      <w:legacy w:legacy="1" w:legacySpace="0" w:legacyIndent="720"/>
      <w:lvlJc w:val="left"/>
      <w:pPr>
        <w:ind w:left="4752" w:hanging="720"/>
      </w:pPr>
    </w:lvl>
  </w:abstractNum>
  <w:abstractNum w:abstractNumId="1" w15:restartNumberingAfterBreak="0">
    <w:nsid w:val="06DA074F"/>
    <w:multiLevelType w:val="hybridMultilevel"/>
    <w:tmpl w:val="9FA27F92"/>
    <w:lvl w:ilvl="0" w:tplc="F468CEEA">
      <w:start w:val="1"/>
      <w:numFmt w:val="decimal"/>
      <w:pStyle w:val="header1"/>
      <w:lvlText w:val="%1."/>
      <w:lvlJc w:val="left"/>
      <w:pPr>
        <w:tabs>
          <w:tab w:val="num" w:pos="502"/>
        </w:tabs>
        <w:ind w:left="502" w:hanging="360"/>
      </w:pPr>
      <w:rPr>
        <w:rFonts w:hint="default"/>
      </w:rPr>
    </w:lvl>
    <w:lvl w:ilvl="1" w:tplc="3B92A7E4">
      <w:start w:val="1"/>
      <w:numFmt w:val="upperLetter"/>
      <w:pStyle w:val="header2"/>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AB12C04"/>
    <w:multiLevelType w:val="singleLevel"/>
    <w:tmpl w:val="A4862722"/>
    <w:lvl w:ilvl="0">
      <w:start w:val="1"/>
      <w:numFmt w:val="bullet"/>
      <w:lvlText w:val=""/>
      <w:lvlJc w:val="left"/>
      <w:pPr>
        <w:tabs>
          <w:tab w:val="num" w:pos="530"/>
        </w:tabs>
        <w:ind w:left="510" w:hanging="340"/>
      </w:pPr>
      <w:rPr>
        <w:rFonts w:ascii="Symbol" w:hAnsi="Symbol" w:hint="default"/>
      </w:rPr>
    </w:lvl>
  </w:abstractNum>
  <w:abstractNum w:abstractNumId="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5"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9"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0"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1"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3"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4"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6"/>
  </w:num>
  <w:num w:numId="3">
    <w:abstractNumId w:val="6"/>
    <w:lvlOverride w:ilvl="0">
      <w:lvl w:ilvl="0">
        <w:start w:val="1"/>
        <w:numFmt w:val="decimal"/>
        <w:lvlText w:val="%1."/>
        <w:legacy w:legacy="1" w:legacySpace="0" w:legacyIndent="360"/>
        <w:lvlJc w:val="left"/>
        <w:pPr>
          <w:ind w:left="360" w:hanging="360"/>
        </w:pPr>
      </w:lvl>
    </w:lvlOverride>
  </w:num>
  <w:num w:numId="4">
    <w:abstractNumId w:val="6"/>
    <w:lvlOverride w:ilvl="0">
      <w:lvl w:ilvl="0">
        <w:start w:val="1"/>
        <w:numFmt w:val="decimal"/>
        <w:lvlText w:val="%1."/>
        <w:legacy w:legacy="1" w:legacySpace="0" w:legacyIndent="360"/>
        <w:lvlJc w:val="left"/>
        <w:pPr>
          <w:ind w:left="360" w:hanging="360"/>
        </w:pPr>
      </w:lvl>
    </w:lvlOverride>
  </w:num>
  <w:num w:numId="5">
    <w:abstractNumId w:val="6"/>
    <w:lvlOverride w:ilvl="0">
      <w:lvl w:ilvl="0">
        <w:start w:val="1"/>
        <w:numFmt w:val="decimal"/>
        <w:lvlText w:val="%1."/>
        <w:legacy w:legacy="1" w:legacySpace="0" w:legacyIndent="360"/>
        <w:lvlJc w:val="left"/>
        <w:pPr>
          <w:ind w:left="360" w:hanging="360"/>
        </w:pPr>
      </w:lvl>
    </w:lvlOverride>
  </w:num>
  <w:num w:numId="6">
    <w:abstractNumId w:val="9"/>
  </w:num>
  <w:num w:numId="7">
    <w:abstractNumId w:val="9"/>
    <w:lvlOverride w:ilvl="0">
      <w:lvl w:ilvl="0">
        <w:start w:val="1"/>
        <w:numFmt w:val="decimal"/>
        <w:lvlText w:val="%1."/>
        <w:legacy w:legacy="1" w:legacySpace="0" w:legacyIndent="360"/>
        <w:lvlJc w:val="left"/>
        <w:pPr>
          <w:ind w:left="360" w:hanging="360"/>
        </w:pPr>
      </w:lvl>
    </w:lvlOverride>
  </w:num>
  <w:num w:numId="8">
    <w:abstractNumId w:val="9"/>
    <w:lvlOverride w:ilvl="0">
      <w:lvl w:ilvl="0">
        <w:start w:val="1"/>
        <w:numFmt w:val="decimal"/>
        <w:lvlText w:val="%1."/>
        <w:legacy w:legacy="1" w:legacySpace="0" w:legacyIndent="360"/>
        <w:lvlJc w:val="left"/>
        <w:pPr>
          <w:ind w:left="360" w:hanging="360"/>
        </w:pPr>
      </w:lvl>
    </w:lvlOverride>
  </w:num>
  <w:num w:numId="9">
    <w:abstractNumId w:val="9"/>
    <w:lvlOverride w:ilvl="0">
      <w:lvl w:ilvl="0">
        <w:start w:val="1"/>
        <w:numFmt w:val="decimal"/>
        <w:lvlText w:val="%1."/>
        <w:legacy w:legacy="1" w:legacySpace="0" w:legacyIndent="360"/>
        <w:lvlJc w:val="left"/>
        <w:pPr>
          <w:ind w:left="360" w:hanging="360"/>
        </w:pPr>
      </w:lvl>
    </w:lvlOverride>
  </w:num>
  <w:num w:numId="10">
    <w:abstractNumId w:val="9"/>
    <w:lvlOverride w:ilvl="0">
      <w:lvl w:ilvl="0">
        <w:start w:val="1"/>
        <w:numFmt w:val="decimal"/>
        <w:lvlText w:val="%1."/>
        <w:legacy w:legacy="1" w:legacySpace="0" w:legacyIndent="360"/>
        <w:lvlJc w:val="left"/>
        <w:pPr>
          <w:ind w:left="360" w:hanging="360"/>
        </w:pPr>
      </w:lvl>
    </w:lvlOverride>
  </w:num>
  <w:num w:numId="11">
    <w:abstractNumId w:val="9"/>
    <w:lvlOverride w:ilvl="0">
      <w:lvl w:ilvl="0">
        <w:start w:val="1"/>
        <w:numFmt w:val="decimal"/>
        <w:lvlText w:val="%1."/>
        <w:legacy w:legacy="1" w:legacySpace="0" w:legacyIndent="360"/>
        <w:lvlJc w:val="left"/>
        <w:pPr>
          <w:ind w:left="360" w:hanging="360"/>
        </w:pPr>
      </w:lvl>
    </w:lvlOverride>
  </w:num>
  <w:num w:numId="12">
    <w:abstractNumId w:val="7"/>
  </w:num>
  <w:num w:numId="13">
    <w:abstractNumId w:val="3"/>
  </w:num>
  <w:num w:numId="14">
    <w:abstractNumId w:val="12"/>
  </w:num>
  <w:num w:numId="15">
    <w:abstractNumId w:val="10"/>
  </w:num>
  <w:num w:numId="16">
    <w:abstractNumId w:val="14"/>
  </w:num>
  <w:num w:numId="17">
    <w:abstractNumId w:val="5"/>
  </w:num>
  <w:num w:numId="18">
    <w:abstractNumId w:val="4"/>
  </w:num>
  <w:num w:numId="19">
    <w:abstractNumId w:val="13"/>
  </w:num>
  <w:num w:numId="20">
    <w:abstractNumId w:val="8"/>
  </w:num>
  <w:num w:numId="21">
    <w:abstractNumId w:val="2"/>
  </w:num>
  <w:num w:numId="22">
    <w:abstractNumId w:val="1"/>
  </w:num>
  <w:num w:numId="23">
    <w:abstractNumId w:val="11"/>
  </w:num>
  <w:num w:numId="24">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pos w:val="beneathText"/>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5B"/>
    <w:rsid w:val="00006D1C"/>
    <w:rsid w:val="00007896"/>
    <w:rsid w:val="000101F7"/>
    <w:rsid w:val="00020776"/>
    <w:rsid w:val="0003236B"/>
    <w:rsid w:val="000413C5"/>
    <w:rsid w:val="000418A8"/>
    <w:rsid w:val="00057EA9"/>
    <w:rsid w:val="00064F7C"/>
    <w:rsid w:val="0007125A"/>
    <w:rsid w:val="00074989"/>
    <w:rsid w:val="00075361"/>
    <w:rsid w:val="0007554E"/>
    <w:rsid w:val="0008374E"/>
    <w:rsid w:val="00091855"/>
    <w:rsid w:val="000930AC"/>
    <w:rsid w:val="000974C7"/>
    <w:rsid w:val="00097AD9"/>
    <w:rsid w:val="000B11D6"/>
    <w:rsid w:val="000B1FB6"/>
    <w:rsid w:val="000B29A8"/>
    <w:rsid w:val="000B503F"/>
    <w:rsid w:val="000C0B3A"/>
    <w:rsid w:val="000C62C8"/>
    <w:rsid w:val="000C6840"/>
    <w:rsid w:val="000C72E1"/>
    <w:rsid w:val="000D0388"/>
    <w:rsid w:val="000D5E46"/>
    <w:rsid w:val="000D6EFF"/>
    <w:rsid w:val="000E2BA8"/>
    <w:rsid w:val="000F3183"/>
    <w:rsid w:val="00110990"/>
    <w:rsid w:val="0011391B"/>
    <w:rsid w:val="00113B23"/>
    <w:rsid w:val="0011588C"/>
    <w:rsid w:val="00120E32"/>
    <w:rsid w:val="00123ADD"/>
    <w:rsid w:val="001255FB"/>
    <w:rsid w:val="001259F4"/>
    <w:rsid w:val="001264B7"/>
    <w:rsid w:val="00127C3C"/>
    <w:rsid w:val="001307F0"/>
    <w:rsid w:val="00132434"/>
    <w:rsid w:val="001342F9"/>
    <w:rsid w:val="0013535C"/>
    <w:rsid w:val="00140160"/>
    <w:rsid w:val="00140271"/>
    <w:rsid w:val="001437FC"/>
    <w:rsid w:val="00144E72"/>
    <w:rsid w:val="00151920"/>
    <w:rsid w:val="00157DCB"/>
    <w:rsid w:val="00162E3E"/>
    <w:rsid w:val="001663F5"/>
    <w:rsid w:val="00166EE6"/>
    <w:rsid w:val="00173E4A"/>
    <w:rsid w:val="00175869"/>
    <w:rsid w:val="00181003"/>
    <w:rsid w:val="00190928"/>
    <w:rsid w:val="00194A59"/>
    <w:rsid w:val="00195BB1"/>
    <w:rsid w:val="001A134E"/>
    <w:rsid w:val="001B151C"/>
    <w:rsid w:val="001C53B2"/>
    <w:rsid w:val="001D025C"/>
    <w:rsid w:val="001D1B64"/>
    <w:rsid w:val="001E22D3"/>
    <w:rsid w:val="001E6329"/>
    <w:rsid w:val="001F0FDD"/>
    <w:rsid w:val="001F14A5"/>
    <w:rsid w:val="001F184D"/>
    <w:rsid w:val="001F1DD8"/>
    <w:rsid w:val="0021354C"/>
    <w:rsid w:val="0022379B"/>
    <w:rsid w:val="002302DF"/>
    <w:rsid w:val="00230C62"/>
    <w:rsid w:val="002419E7"/>
    <w:rsid w:val="002434A1"/>
    <w:rsid w:val="00244D94"/>
    <w:rsid w:val="0026258A"/>
    <w:rsid w:val="00263600"/>
    <w:rsid w:val="0026367A"/>
    <w:rsid w:val="00273051"/>
    <w:rsid w:val="00282D02"/>
    <w:rsid w:val="00284ABC"/>
    <w:rsid w:val="00293B1B"/>
    <w:rsid w:val="00296802"/>
    <w:rsid w:val="0029690D"/>
    <w:rsid w:val="002D19E6"/>
    <w:rsid w:val="002D40A0"/>
    <w:rsid w:val="002E2D8A"/>
    <w:rsid w:val="002E50D1"/>
    <w:rsid w:val="002E56D3"/>
    <w:rsid w:val="002E5EA3"/>
    <w:rsid w:val="002E77D9"/>
    <w:rsid w:val="002F056D"/>
    <w:rsid w:val="002F6506"/>
    <w:rsid w:val="0030494B"/>
    <w:rsid w:val="0031304A"/>
    <w:rsid w:val="00317894"/>
    <w:rsid w:val="003259FE"/>
    <w:rsid w:val="00330CF3"/>
    <w:rsid w:val="0033495E"/>
    <w:rsid w:val="0034146A"/>
    <w:rsid w:val="003430F0"/>
    <w:rsid w:val="00360269"/>
    <w:rsid w:val="00380FA4"/>
    <w:rsid w:val="00384BBC"/>
    <w:rsid w:val="00394310"/>
    <w:rsid w:val="003A472F"/>
    <w:rsid w:val="003A5005"/>
    <w:rsid w:val="003A5495"/>
    <w:rsid w:val="003B0367"/>
    <w:rsid w:val="003B295E"/>
    <w:rsid w:val="003B2ED5"/>
    <w:rsid w:val="003B554A"/>
    <w:rsid w:val="003C376D"/>
    <w:rsid w:val="003C3EDC"/>
    <w:rsid w:val="003C686E"/>
    <w:rsid w:val="003C69F3"/>
    <w:rsid w:val="003D201E"/>
    <w:rsid w:val="003D7EFB"/>
    <w:rsid w:val="004001B3"/>
    <w:rsid w:val="004058FA"/>
    <w:rsid w:val="00406C60"/>
    <w:rsid w:val="00410770"/>
    <w:rsid w:val="004178B7"/>
    <w:rsid w:val="0043144F"/>
    <w:rsid w:val="00431BFA"/>
    <w:rsid w:val="004337B1"/>
    <w:rsid w:val="00434F74"/>
    <w:rsid w:val="0043514D"/>
    <w:rsid w:val="00442D17"/>
    <w:rsid w:val="00454518"/>
    <w:rsid w:val="00460451"/>
    <w:rsid w:val="004619F9"/>
    <w:rsid w:val="004631BC"/>
    <w:rsid w:val="004758FF"/>
    <w:rsid w:val="004844E0"/>
    <w:rsid w:val="00486D78"/>
    <w:rsid w:val="0049224D"/>
    <w:rsid w:val="004A0FF0"/>
    <w:rsid w:val="004A2788"/>
    <w:rsid w:val="004B40A0"/>
    <w:rsid w:val="004C1E16"/>
    <w:rsid w:val="004C379F"/>
    <w:rsid w:val="004C465D"/>
    <w:rsid w:val="004C7F7B"/>
    <w:rsid w:val="004D71BD"/>
    <w:rsid w:val="004E0FDD"/>
    <w:rsid w:val="004E19FB"/>
    <w:rsid w:val="004E1C5A"/>
    <w:rsid w:val="004E2BB7"/>
    <w:rsid w:val="004E7500"/>
    <w:rsid w:val="005036E7"/>
    <w:rsid w:val="00511BFD"/>
    <w:rsid w:val="00512E64"/>
    <w:rsid w:val="00512EAB"/>
    <w:rsid w:val="0051342C"/>
    <w:rsid w:val="0051360D"/>
    <w:rsid w:val="00513B85"/>
    <w:rsid w:val="0051476F"/>
    <w:rsid w:val="00515557"/>
    <w:rsid w:val="00515880"/>
    <w:rsid w:val="00516027"/>
    <w:rsid w:val="00520364"/>
    <w:rsid w:val="005208DD"/>
    <w:rsid w:val="0053277F"/>
    <w:rsid w:val="0053401D"/>
    <w:rsid w:val="00542497"/>
    <w:rsid w:val="00547A2B"/>
    <w:rsid w:val="005515EB"/>
    <w:rsid w:val="005533FB"/>
    <w:rsid w:val="005541B1"/>
    <w:rsid w:val="00565460"/>
    <w:rsid w:val="0058237C"/>
    <w:rsid w:val="00582EDB"/>
    <w:rsid w:val="005854E7"/>
    <w:rsid w:val="00593879"/>
    <w:rsid w:val="005A2A15"/>
    <w:rsid w:val="005B33B7"/>
    <w:rsid w:val="005C2C2C"/>
    <w:rsid w:val="005C5D51"/>
    <w:rsid w:val="005C675B"/>
    <w:rsid w:val="005C7459"/>
    <w:rsid w:val="005D348E"/>
    <w:rsid w:val="005F0F55"/>
    <w:rsid w:val="006150AA"/>
    <w:rsid w:val="00620D38"/>
    <w:rsid w:val="00622942"/>
    <w:rsid w:val="00625E96"/>
    <w:rsid w:val="00637895"/>
    <w:rsid w:val="00637FFA"/>
    <w:rsid w:val="0064026C"/>
    <w:rsid w:val="00640A5C"/>
    <w:rsid w:val="00646F66"/>
    <w:rsid w:val="00647BE5"/>
    <w:rsid w:val="00654A66"/>
    <w:rsid w:val="00656DF0"/>
    <w:rsid w:val="00664919"/>
    <w:rsid w:val="0066723A"/>
    <w:rsid w:val="00667256"/>
    <w:rsid w:val="00680DBA"/>
    <w:rsid w:val="00685B19"/>
    <w:rsid w:val="00692513"/>
    <w:rsid w:val="0069424A"/>
    <w:rsid w:val="00696BCA"/>
    <w:rsid w:val="00697B13"/>
    <w:rsid w:val="006A0E5B"/>
    <w:rsid w:val="006C6E1E"/>
    <w:rsid w:val="006D0886"/>
    <w:rsid w:val="006D6332"/>
    <w:rsid w:val="006D7D3F"/>
    <w:rsid w:val="006E4551"/>
    <w:rsid w:val="00707C32"/>
    <w:rsid w:val="00711312"/>
    <w:rsid w:val="007136C8"/>
    <w:rsid w:val="00722678"/>
    <w:rsid w:val="007358A1"/>
    <w:rsid w:val="0073761F"/>
    <w:rsid w:val="007376D5"/>
    <w:rsid w:val="00740211"/>
    <w:rsid w:val="00740463"/>
    <w:rsid w:val="007422F3"/>
    <w:rsid w:val="00743928"/>
    <w:rsid w:val="0074443E"/>
    <w:rsid w:val="00746973"/>
    <w:rsid w:val="00752579"/>
    <w:rsid w:val="0075602C"/>
    <w:rsid w:val="00760C0C"/>
    <w:rsid w:val="00760E11"/>
    <w:rsid w:val="007675A2"/>
    <w:rsid w:val="00772F1F"/>
    <w:rsid w:val="0077676F"/>
    <w:rsid w:val="00784A4A"/>
    <w:rsid w:val="00785E28"/>
    <w:rsid w:val="00792422"/>
    <w:rsid w:val="007931C1"/>
    <w:rsid w:val="007949DE"/>
    <w:rsid w:val="00794B51"/>
    <w:rsid w:val="007A5DF1"/>
    <w:rsid w:val="007A762C"/>
    <w:rsid w:val="007C4336"/>
    <w:rsid w:val="007C5A4A"/>
    <w:rsid w:val="007E1F2F"/>
    <w:rsid w:val="008050A9"/>
    <w:rsid w:val="0080692A"/>
    <w:rsid w:val="00822999"/>
    <w:rsid w:val="00823138"/>
    <w:rsid w:val="00825329"/>
    <w:rsid w:val="00833270"/>
    <w:rsid w:val="008405DB"/>
    <w:rsid w:val="00862646"/>
    <w:rsid w:val="00866F36"/>
    <w:rsid w:val="00872371"/>
    <w:rsid w:val="0087431E"/>
    <w:rsid w:val="0087792E"/>
    <w:rsid w:val="008869C5"/>
    <w:rsid w:val="008873CE"/>
    <w:rsid w:val="008874F8"/>
    <w:rsid w:val="00890293"/>
    <w:rsid w:val="008922D6"/>
    <w:rsid w:val="00895D30"/>
    <w:rsid w:val="008A2E9B"/>
    <w:rsid w:val="008C08E6"/>
    <w:rsid w:val="008C172A"/>
    <w:rsid w:val="008D4461"/>
    <w:rsid w:val="008E021D"/>
    <w:rsid w:val="008E1628"/>
    <w:rsid w:val="008E25F1"/>
    <w:rsid w:val="008E37A0"/>
    <w:rsid w:val="008E6595"/>
    <w:rsid w:val="008F0349"/>
    <w:rsid w:val="008F55CC"/>
    <w:rsid w:val="008F61AC"/>
    <w:rsid w:val="00901DCF"/>
    <w:rsid w:val="00904509"/>
    <w:rsid w:val="00907772"/>
    <w:rsid w:val="0091035B"/>
    <w:rsid w:val="00910509"/>
    <w:rsid w:val="00914420"/>
    <w:rsid w:val="009215D0"/>
    <w:rsid w:val="00921D9B"/>
    <w:rsid w:val="00923658"/>
    <w:rsid w:val="00926D1F"/>
    <w:rsid w:val="009514C0"/>
    <w:rsid w:val="00952681"/>
    <w:rsid w:val="00957114"/>
    <w:rsid w:val="0097035A"/>
    <w:rsid w:val="009711E5"/>
    <w:rsid w:val="009848D7"/>
    <w:rsid w:val="00984ACB"/>
    <w:rsid w:val="009858CF"/>
    <w:rsid w:val="00987CF1"/>
    <w:rsid w:val="00993CB5"/>
    <w:rsid w:val="009946ED"/>
    <w:rsid w:val="009A031B"/>
    <w:rsid w:val="009A3469"/>
    <w:rsid w:val="009A5017"/>
    <w:rsid w:val="009B64C2"/>
    <w:rsid w:val="009C2727"/>
    <w:rsid w:val="009C2FAC"/>
    <w:rsid w:val="009D703D"/>
    <w:rsid w:val="009E2130"/>
    <w:rsid w:val="009E2447"/>
    <w:rsid w:val="009E73ED"/>
    <w:rsid w:val="009F0375"/>
    <w:rsid w:val="009F12F7"/>
    <w:rsid w:val="00A02352"/>
    <w:rsid w:val="00A07B41"/>
    <w:rsid w:val="00A22835"/>
    <w:rsid w:val="00A3477B"/>
    <w:rsid w:val="00A52F8D"/>
    <w:rsid w:val="00A535EB"/>
    <w:rsid w:val="00A5483D"/>
    <w:rsid w:val="00A6575F"/>
    <w:rsid w:val="00A7187D"/>
    <w:rsid w:val="00A72BE9"/>
    <w:rsid w:val="00A750CA"/>
    <w:rsid w:val="00A77442"/>
    <w:rsid w:val="00A83064"/>
    <w:rsid w:val="00A85C33"/>
    <w:rsid w:val="00A90F52"/>
    <w:rsid w:val="00A92870"/>
    <w:rsid w:val="00A9437C"/>
    <w:rsid w:val="00A96365"/>
    <w:rsid w:val="00AA0275"/>
    <w:rsid w:val="00AA64DF"/>
    <w:rsid w:val="00AB0B2A"/>
    <w:rsid w:val="00AB2810"/>
    <w:rsid w:val="00AB3429"/>
    <w:rsid w:val="00AB3D39"/>
    <w:rsid w:val="00AC1840"/>
    <w:rsid w:val="00AC652E"/>
    <w:rsid w:val="00AE04D0"/>
    <w:rsid w:val="00AE5231"/>
    <w:rsid w:val="00AE601E"/>
    <w:rsid w:val="00AE641C"/>
    <w:rsid w:val="00AE6ECC"/>
    <w:rsid w:val="00AF2354"/>
    <w:rsid w:val="00AF5053"/>
    <w:rsid w:val="00AF664B"/>
    <w:rsid w:val="00B02561"/>
    <w:rsid w:val="00B10A52"/>
    <w:rsid w:val="00B20BA1"/>
    <w:rsid w:val="00B279A4"/>
    <w:rsid w:val="00B30985"/>
    <w:rsid w:val="00B36DF7"/>
    <w:rsid w:val="00B40D51"/>
    <w:rsid w:val="00B424E9"/>
    <w:rsid w:val="00B45B46"/>
    <w:rsid w:val="00B47B1C"/>
    <w:rsid w:val="00B52E36"/>
    <w:rsid w:val="00B54136"/>
    <w:rsid w:val="00B6097D"/>
    <w:rsid w:val="00B71F96"/>
    <w:rsid w:val="00B73D5D"/>
    <w:rsid w:val="00B765B5"/>
    <w:rsid w:val="00B9180A"/>
    <w:rsid w:val="00BA0F18"/>
    <w:rsid w:val="00BA38E4"/>
    <w:rsid w:val="00BA4F0A"/>
    <w:rsid w:val="00BB6479"/>
    <w:rsid w:val="00BC370F"/>
    <w:rsid w:val="00BD57AA"/>
    <w:rsid w:val="00BE7EA4"/>
    <w:rsid w:val="00BF32FE"/>
    <w:rsid w:val="00BF4616"/>
    <w:rsid w:val="00BF7FAC"/>
    <w:rsid w:val="00C1096C"/>
    <w:rsid w:val="00C139A0"/>
    <w:rsid w:val="00C15DF2"/>
    <w:rsid w:val="00C25F8E"/>
    <w:rsid w:val="00C269B3"/>
    <w:rsid w:val="00C27A91"/>
    <w:rsid w:val="00C3348D"/>
    <w:rsid w:val="00C3702D"/>
    <w:rsid w:val="00C44718"/>
    <w:rsid w:val="00C511E9"/>
    <w:rsid w:val="00C53BD1"/>
    <w:rsid w:val="00C571DD"/>
    <w:rsid w:val="00C612A8"/>
    <w:rsid w:val="00C63999"/>
    <w:rsid w:val="00C66881"/>
    <w:rsid w:val="00C67116"/>
    <w:rsid w:val="00C70353"/>
    <w:rsid w:val="00C75C7C"/>
    <w:rsid w:val="00C92A19"/>
    <w:rsid w:val="00C956CB"/>
    <w:rsid w:val="00CB08DB"/>
    <w:rsid w:val="00CB4967"/>
    <w:rsid w:val="00CB4B8D"/>
    <w:rsid w:val="00CB6098"/>
    <w:rsid w:val="00CC5058"/>
    <w:rsid w:val="00CC5502"/>
    <w:rsid w:val="00CD29FE"/>
    <w:rsid w:val="00CD3A2E"/>
    <w:rsid w:val="00CD3B01"/>
    <w:rsid w:val="00CD76D7"/>
    <w:rsid w:val="00CF462A"/>
    <w:rsid w:val="00D07C87"/>
    <w:rsid w:val="00D12022"/>
    <w:rsid w:val="00D15690"/>
    <w:rsid w:val="00D40C1B"/>
    <w:rsid w:val="00D41953"/>
    <w:rsid w:val="00D56935"/>
    <w:rsid w:val="00D64C4A"/>
    <w:rsid w:val="00D758C6"/>
    <w:rsid w:val="00D75D0D"/>
    <w:rsid w:val="00D87350"/>
    <w:rsid w:val="00D94D95"/>
    <w:rsid w:val="00D97742"/>
    <w:rsid w:val="00DA4720"/>
    <w:rsid w:val="00DA57C8"/>
    <w:rsid w:val="00DA6C7C"/>
    <w:rsid w:val="00DA7392"/>
    <w:rsid w:val="00DC0161"/>
    <w:rsid w:val="00DC3049"/>
    <w:rsid w:val="00DE5E28"/>
    <w:rsid w:val="00DF116D"/>
    <w:rsid w:val="00DF2DDE"/>
    <w:rsid w:val="00DF4432"/>
    <w:rsid w:val="00E00D43"/>
    <w:rsid w:val="00E04D6A"/>
    <w:rsid w:val="00E10D2B"/>
    <w:rsid w:val="00E11D7C"/>
    <w:rsid w:val="00E124B6"/>
    <w:rsid w:val="00E14005"/>
    <w:rsid w:val="00E145EA"/>
    <w:rsid w:val="00E177EB"/>
    <w:rsid w:val="00E179EB"/>
    <w:rsid w:val="00E2162A"/>
    <w:rsid w:val="00E231F1"/>
    <w:rsid w:val="00E31044"/>
    <w:rsid w:val="00E40E83"/>
    <w:rsid w:val="00E50DF6"/>
    <w:rsid w:val="00E63FAE"/>
    <w:rsid w:val="00E6425F"/>
    <w:rsid w:val="00E6455A"/>
    <w:rsid w:val="00E70BDD"/>
    <w:rsid w:val="00E75A60"/>
    <w:rsid w:val="00E76024"/>
    <w:rsid w:val="00E775AA"/>
    <w:rsid w:val="00E8045F"/>
    <w:rsid w:val="00E82C81"/>
    <w:rsid w:val="00E93162"/>
    <w:rsid w:val="00E958A3"/>
    <w:rsid w:val="00E97402"/>
    <w:rsid w:val="00EA1194"/>
    <w:rsid w:val="00EB41A0"/>
    <w:rsid w:val="00EB591F"/>
    <w:rsid w:val="00EC1971"/>
    <w:rsid w:val="00EC72E3"/>
    <w:rsid w:val="00EC7914"/>
    <w:rsid w:val="00ED0DC9"/>
    <w:rsid w:val="00ED0F79"/>
    <w:rsid w:val="00ED2727"/>
    <w:rsid w:val="00ED3668"/>
    <w:rsid w:val="00ED62E1"/>
    <w:rsid w:val="00EE3E2E"/>
    <w:rsid w:val="00EF37AB"/>
    <w:rsid w:val="00EF39E8"/>
    <w:rsid w:val="00F03F0C"/>
    <w:rsid w:val="00F07F46"/>
    <w:rsid w:val="00F112C3"/>
    <w:rsid w:val="00F1486A"/>
    <w:rsid w:val="00F1744E"/>
    <w:rsid w:val="00F17804"/>
    <w:rsid w:val="00F30861"/>
    <w:rsid w:val="00F317B5"/>
    <w:rsid w:val="00F31ABC"/>
    <w:rsid w:val="00F338F5"/>
    <w:rsid w:val="00F34197"/>
    <w:rsid w:val="00F43232"/>
    <w:rsid w:val="00F44521"/>
    <w:rsid w:val="00F45099"/>
    <w:rsid w:val="00F4515B"/>
    <w:rsid w:val="00F477F2"/>
    <w:rsid w:val="00F5467D"/>
    <w:rsid w:val="00F562F5"/>
    <w:rsid w:val="00F56B37"/>
    <w:rsid w:val="00F65266"/>
    <w:rsid w:val="00F67E8D"/>
    <w:rsid w:val="00F7673A"/>
    <w:rsid w:val="00F93BAA"/>
    <w:rsid w:val="00F9469D"/>
    <w:rsid w:val="00FA7922"/>
    <w:rsid w:val="00FC5D7A"/>
    <w:rsid w:val="00FD27DE"/>
    <w:rsid w:val="00FD60AB"/>
    <w:rsid w:val="00FE6CC4"/>
    <w:rsid w:val="00FF19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38FEFD1F-84D2-4858-B139-17291A96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autoSpaceDE w:val="0"/>
      <w:autoSpaceDN w:val="0"/>
    </w:pPr>
    <w:rPr>
      <w:rFonts w:ascii="(Użyj czcionki tekstu azjatycki" w:hAnsi="(Użyj czcionki tekstu azjatycki"/>
      <w:lang w:val="en-US" w:eastAsia="en-US"/>
    </w:rPr>
  </w:style>
  <w:style w:type="paragraph" w:styleId="Nagwek1">
    <w:name w:val="heading 1"/>
    <w:basedOn w:val="Normalny"/>
    <w:next w:val="Normalny"/>
    <w:qFormat/>
    <w:pPr>
      <w:keepNext/>
      <w:numPr>
        <w:numId w:val="1"/>
      </w:numPr>
      <w:spacing w:before="240" w:after="80"/>
      <w:jc w:val="center"/>
      <w:outlineLvl w:val="0"/>
    </w:pPr>
    <w:rPr>
      <w:smallCaps/>
      <w:kern w:val="28"/>
    </w:rPr>
  </w:style>
  <w:style w:type="paragraph" w:styleId="Nagwek2">
    <w:name w:val="heading 2"/>
    <w:basedOn w:val="Normalny"/>
    <w:next w:val="Normalny"/>
    <w:qFormat/>
    <w:pPr>
      <w:keepNext/>
      <w:numPr>
        <w:ilvl w:val="1"/>
        <w:numId w:val="1"/>
      </w:numPr>
      <w:spacing w:before="120" w:after="60"/>
      <w:ind w:left="144"/>
      <w:outlineLvl w:val="1"/>
    </w:pPr>
    <w:rPr>
      <w:i/>
      <w:iCs/>
    </w:rPr>
  </w:style>
  <w:style w:type="paragraph" w:styleId="Nagwek3">
    <w:name w:val="heading 3"/>
    <w:basedOn w:val="Normalny"/>
    <w:next w:val="Normalny"/>
    <w:qFormat/>
    <w:pPr>
      <w:keepNext/>
      <w:numPr>
        <w:ilvl w:val="2"/>
        <w:numId w:val="1"/>
      </w:numPr>
      <w:ind w:left="288"/>
      <w:outlineLvl w:val="2"/>
    </w:pPr>
    <w:rPr>
      <w:i/>
      <w:iCs/>
    </w:rPr>
  </w:style>
  <w:style w:type="paragraph" w:styleId="Nagwek4">
    <w:name w:val="heading 4"/>
    <w:basedOn w:val="Normalny"/>
    <w:next w:val="Normalny"/>
    <w:qFormat/>
    <w:pPr>
      <w:keepNext/>
      <w:numPr>
        <w:ilvl w:val="3"/>
        <w:numId w:val="1"/>
      </w:numPr>
      <w:spacing w:before="240" w:after="60"/>
      <w:outlineLvl w:val="3"/>
    </w:pPr>
    <w:rPr>
      <w:i/>
      <w:iCs/>
      <w:sz w:val="18"/>
      <w:szCs w:val="18"/>
    </w:rPr>
  </w:style>
  <w:style w:type="paragraph" w:styleId="Nagwek5">
    <w:name w:val="heading 5"/>
    <w:basedOn w:val="Normalny"/>
    <w:next w:val="Normalny"/>
    <w:qFormat/>
    <w:pPr>
      <w:numPr>
        <w:ilvl w:val="4"/>
        <w:numId w:val="1"/>
      </w:numPr>
      <w:spacing w:before="240" w:after="60"/>
      <w:outlineLvl w:val="4"/>
    </w:pPr>
    <w:rPr>
      <w:sz w:val="18"/>
      <w:szCs w:val="18"/>
    </w:rPr>
  </w:style>
  <w:style w:type="paragraph" w:styleId="Nagwek6">
    <w:name w:val="heading 6"/>
    <w:basedOn w:val="Normalny"/>
    <w:next w:val="Normalny"/>
    <w:qFormat/>
    <w:pPr>
      <w:numPr>
        <w:ilvl w:val="5"/>
        <w:numId w:val="1"/>
      </w:numPr>
      <w:spacing w:before="240" w:after="60"/>
      <w:outlineLvl w:val="5"/>
    </w:pPr>
    <w:rPr>
      <w:i/>
      <w:iCs/>
      <w:sz w:val="16"/>
      <w:szCs w:val="16"/>
    </w:rPr>
  </w:style>
  <w:style w:type="paragraph" w:styleId="Nagwek7">
    <w:name w:val="heading 7"/>
    <w:basedOn w:val="Normalny"/>
    <w:next w:val="Normalny"/>
    <w:qFormat/>
    <w:pPr>
      <w:numPr>
        <w:ilvl w:val="6"/>
        <w:numId w:val="1"/>
      </w:numPr>
      <w:spacing w:before="240" w:after="60"/>
      <w:outlineLvl w:val="6"/>
    </w:pPr>
    <w:rPr>
      <w:sz w:val="16"/>
      <w:szCs w:val="16"/>
    </w:rPr>
  </w:style>
  <w:style w:type="paragraph" w:styleId="Nagwek8">
    <w:name w:val="heading 8"/>
    <w:basedOn w:val="Normalny"/>
    <w:next w:val="Normalny"/>
    <w:qFormat/>
    <w:pPr>
      <w:numPr>
        <w:ilvl w:val="7"/>
        <w:numId w:val="1"/>
      </w:numPr>
      <w:spacing w:before="240" w:after="60"/>
      <w:outlineLvl w:val="7"/>
    </w:pPr>
    <w:rPr>
      <w:i/>
      <w:iCs/>
      <w:sz w:val="16"/>
      <w:szCs w:val="16"/>
    </w:rPr>
  </w:style>
  <w:style w:type="paragraph" w:styleId="Nagwek9">
    <w:name w:val="heading 9"/>
    <w:basedOn w:val="Normalny"/>
    <w:next w:val="Normalny"/>
    <w:qFormat/>
    <w:pPr>
      <w:numPr>
        <w:ilvl w:val="8"/>
        <w:numId w:val="1"/>
      </w:numPr>
      <w:spacing w:before="240" w:after="60"/>
      <w:outlineLvl w:val="8"/>
    </w:pPr>
    <w:rPr>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bstract">
    <w:name w:val="Abstract"/>
    <w:basedOn w:val="Normalny"/>
    <w:next w:val="Normalny"/>
    <w:rsid w:val="00B47B1C"/>
    <w:pPr>
      <w:spacing w:before="20"/>
      <w:ind w:firstLine="202"/>
      <w:jc w:val="both"/>
    </w:pPr>
    <w:rPr>
      <w:bCs/>
    </w:rPr>
  </w:style>
  <w:style w:type="paragraph" w:customStyle="1" w:styleId="Authors">
    <w:name w:val="Authors"/>
    <w:basedOn w:val="Normalny"/>
    <w:next w:val="Normalny"/>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ytu">
    <w:name w:val="Title"/>
    <w:basedOn w:val="Normalny"/>
    <w:next w:val="Normalny"/>
    <w:qFormat/>
    <w:pPr>
      <w:framePr w:w="9360" w:hSpace="187" w:vSpace="187" w:wrap="notBeside" w:vAnchor="text" w:hAnchor="page" w:xAlign="center" w:y="1"/>
      <w:jc w:val="center"/>
    </w:pPr>
    <w:rPr>
      <w:kern w:val="28"/>
      <w:sz w:val="48"/>
      <w:szCs w:val="48"/>
    </w:rPr>
  </w:style>
  <w:style w:type="paragraph" w:styleId="Tekstprzypisudolnego">
    <w:name w:val="footnote text"/>
    <w:basedOn w:val="Normalny"/>
    <w:semiHidden/>
    <w:pPr>
      <w:ind w:firstLine="202"/>
      <w:jc w:val="both"/>
    </w:pPr>
    <w:rPr>
      <w:sz w:val="16"/>
      <w:szCs w:val="16"/>
    </w:rPr>
  </w:style>
  <w:style w:type="paragraph" w:customStyle="1" w:styleId="References">
    <w:name w:val="References"/>
    <w:basedOn w:val="Normalny"/>
    <w:pPr>
      <w:numPr>
        <w:numId w:val="12"/>
      </w:numPr>
      <w:jc w:val="both"/>
    </w:pPr>
    <w:rPr>
      <w:sz w:val="16"/>
      <w:szCs w:val="16"/>
    </w:rPr>
  </w:style>
  <w:style w:type="paragraph" w:customStyle="1" w:styleId="IndexTerms">
    <w:name w:val="IndexTerms"/>
    <w:basedOn w:val="Normalny"/>
    <w:next w:val="Normalny"/>
    <w:pPr>
      <w:ind w:firstLine="202"/>
      <w:jc w:val="both"/>
    </w:pPr>
    <w:rPr>
      <w:b/>
      <w:bCs/>
      <w:sz w:val="18"/>
      <w:szCs w:val="18"/>
    </w:rPr>
  </w:style>
  <w:style w:type="character" w:styleId="Odwoanieprzypisudolnego">
    <w:name w:val="footnote reference"/>
    <w:semiHidden/>
    <w:rPr>
      <w:vertAlign w:val="superscript"/>
    </w:rPr>
  </w:style>
  <w:style w:type="paragraph" w:styleId="Stopka">
    <w:name w:val="footer"/>
    <w:basedOn w:val="Normalny"/>
    <w:pPr>
      <w:tabs>
        <w:tab w:val="center" w:pos="4320"/>
        <w:tab w:val="right" w:pos="8640"/>
      </w:tabs>
    </w:pPr>
  </w:style>
  <w:style w:type="paragraph" w:customStyle="1" w:styleId="Text">
    <w:name w:val="Text"/>
    <w:basedOn w:val="Normalny"/>
    <w:pPr>
      <w:widowControl w:val="0"/>
      <w:spacing w:line="252" w:lineRule="auto"/>
      <w:ind w:firstLine="202"/>
      <w:jc w:val="both"/>
    </w:pPr>
  </w:style>
  <w:style w:type="paragraph" w:customStyle="1" w:styleId="FigureCaption">
    <w:name w:val="Figure Caption"/>
    <w:basedOn w:val="Normalny"/>
    <w:pPr>
      <w:jc w:val="both"/>
    </w:pPr>
    <w:rPr>
      <w:sz w:val="16"/>
      <w:szCs w:val="16"/>
    </w:rPr>
  </w:style>
  <w:style w:type="paragraph" w:customStyle="1" w:styleId="TableTitle">
    <w:name w:val="Table Title"/>
    <w:basedOn w:val="Normalny"/>
    <w:pPr>
      <w:jc w:val="center"/>
    </w:pPr>
    <w:rPr>
      <w:smallCaps/>
      <w:sz w:val="16"/>
      <w:szCs w:val="16"/>
    </w:rPr>
  </w:style>
  <w:style w:type="paragraph" w:customStyle="1" w:styleId="ReferenceHead">
    <w:name w:val="Reference Head"/>
    <w:basedOn w:val="Nagwek1"/>
    <w:pPr>
      <w:numPr>
        <w:numId w:val="0"/>
      </w:numPr>
    </w:pPr>
  </w:style>
  <w:style w:type="paragraph" w:styleId="Nagwek">
    <w:name w:val="header"/>
    <w:basedOn w:val="Normalny"/>
    <w:pPr>
      <w:tabs>
        <w:tab w:val="center" w:pos="4320"/>
        <w:tab w:val="right" w:pos="8640"/>
      </w:tabs>
    </w:pPr>
  </w:style>
  <w:style w:type="paragraph" w:customStyle="1" w:styleId="Equation">
    <w:name w:val="Equation"/>
    <w:basedOn w:val="Normalny"/>
    <w:next w:val="Normalny"/>
    <w:pPr>
      <w:widowControl w:val="0"/>
      <w:tabs>
        <w:tab w:val="right" w:pos="5040"/>
      </w:tabs>
      <w:spacing w:line="252" w:lineRule="auto"/>
      <w:jc w:val="both"/>
    </w:pPr>
  </w:style>
  <w:style w:type="character" w:styleId="Hipercze">
    <w:name w:val="Hyperlink"/>
    <w:rPr>
      <w:color w:val="0000FF"/>
      <w:u w:val="single"/>
    </w:rPr>
  </w:style>
  <w:style w:type="character" w:styleId="UyteHipercze">
    <w:name w:val="FollowedHyperlink"/>
    <w:rPr>
      <w:color w:val="800080"/>
      <w:u w:val="single"/>
    </w:rPr>
  </w:style>
  <w:style w:type="paragraph" w:styleId="Tekstpodstawowywcity">
    <w:name w:val="Body Text Indent"/>
    <w:basedOn w:val="Normalny"/>
    <w:pPr>
      <w:ind w:left="630" w:hanging="630"/>
    </w:pPr>
    <w:rPr>
      <w:szCs w:val="24"/>
    </w:rPr>
  </w:style>
  <w:style w:type="paragraph" w:customStyle="1" w:styleId="Plandokumentu">
    <w:name w:val="Plan dokumentu"/>
    <w:basedOn w:val="Normalny"/>
    <w:semiHidden/>
    <w:rsid w:val="00DC5FC7"/>
    <w:pPr>
      <w:shd w:val="clear" w:color="auto" w:fill="000080"/>
    </w:pPr>
    <w:rPr>
      <w:rFonts w:ascii="Tahoma" w:hAnsi="Tahoma" w:cs="Tahoma"/>
    </w:rPr>
  </w:style>
  <w:style w:type="paragraph" w:customStyle="1" w:styleId="Pa0">
    <w:name w:val="Pa0"/>
    <w:basedOn w:val="Normalny"/>
    <w:next w:val="Normalny"/>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customStyle="1" w:styleId="equation0">
    <w:name w:val="equation"/>
    <w:basedOn w:val="Normalny"/>
    <w:next w:val="Normalny"/>
    <w:rsid w:val="004A2788"/>
    <w:pPr>
      <w:tabs>
        <w:tab w:val="center" w:pos="4536"/>
        <w:tab w:val="right" w:pos="9072"/>
      </w:tabs>
      <w:autoSpaceDE/>
      <w:autoSpaceDN/>
      <w:spacing w:line="360" w:lineRule="auto"/>
      <w:jc w:val="both"/>
    </w:pPr>
    <w:rPr>
      <w:rFonts w:ascii="Times New Roman" w:hAnsi="Times New Roman"/>
      <w:sz w:val="24"/>
      <w:lang w:val="ru-RU" w:eastAsia="pl-PL"/>
    </w:rPr>
  </w:style>
  <w:style w:type="paragraph" w:customStyle="1" w:styleId="header1">
    <w:name w:val="header  1"/>
    <w:basedOn w:val="Nagwek1"/>
    <w:rsid w:val="004A2788"/>
    <w:pPr>
      <w:numPr>
        <w:numId w:val="22"/>
      </w:numPr>
      <w:autoSpaceDE/>
      <w:autoSpaceDN/>
      <w:spacing w:after="60"/>
      <w:jc w:val="left"/>
    </w:pPr>
    <w:rPr>
      <w:rFonts w:ascii="Times New Roman" w:hAnsi="Times New Roman"/>
      <w:b/>
      <w:smallCaps w:val="0"/>
      <w:lang w:val="en-GB" w:eastAsia="pl-PL"/>
    </w:rPr>
  </w:style>
  <w:style w:type="paragraph" w:customStyle="1" w:styleId="Nagwek10">
    <w:name w:val="Nagłówek1"/>
    <w:basedOn w:val="Normalny"/>
    <w:rsid w:val="004A2788"/>
    <w:pPr>
      <w:keepNext/>
      <w:autoSpaceDE/>
      <w:autoSpaceDN/>
      <w:spacing w:before="240" w:after="60"/>
    </w:pPr>
    <w:rPr>
      <w:rFonts w:ascii="Times New Roman" w:hAnsi="Times New Roman"/>
      <w:b/>
      <w:lang w:val="en-GB" w:eastAsia="pl-PL"/>
    </w:rPr>
  </w:style>
  <w:style w:type="paragraph" w:styleId="Wcicienormalne">
    <w:name w:val="Normal Indent"/>
    <w:basedOn w:val="Normalny"/>
    <w:rsid w:val="004A2788"/>
    <w:pPr>
      <w:autoSpaceDE/>
      <w:autoSpaceDN/>
      <w:ind w:firstLine="142"/>
      <w:jc w:val="both"/>
    </w:pPr>
    <w:rPr>
      <w:rFonts w:ascii="Times New Roman" w:hAnsi="Times New Roman"/>
      <w:lang w:val="en-GB" w:eastAsia="pl-PL"/>
    </w:rPr>
  </w:style>
  <w:style w:type="paragraph" w:customStyle="1" w:styleId="header2">
    <w:name w:val="header 2"/>
    <w:basedOn w:val="Nagwek2"/>
    <w:rsid w:val="004A2788"/>
    <w:pPr>
      <w:numPr>
        <w:numId w:val="22"/>
      </w:numPr>
      <w:autoSpaceDE/>
      <w:autoSpaceDN/>
      <w:spacing w:before="240"/>
      <w:ind w:left="0"/>
    </w:pPr>
    <w:rPr>
      <w:rFonts w:ascii="Times New Roman" w:hAnsi="Times New Roman"/>
      <w:b/>
      <w:i w:val="0"/>
      <w:iCs w:val="0"/>
      <w:lang w:val="en-GB" w:eastAsia="pl-PL"/>
    </w:rPr>
  </w:style>
  <w:style w:type="paragraph" w:customStyle="1" w:styleId="Table">
    <w:name w:val="Table"/>
    <w:basedOn w:val="Normalny"/>
    <w:rsid w:val="004A2788"/>
    <w:pPr>
      <w:keepNext/>
      <w:autoSpaceDE/>
      <w:autoSpaceDN/>
      <w:spacing w:before="60" w:after="60"/>
      <w:jc w:val="center"/>
    </w:pPr>
    <w:rPr>
      <w:rFonts w:ascii="Times New Roman" w:hAnsi="Times New Roman"/>
      <w:sz w:val="18"/>
      <w:lang w:eastAsia="pl-PL"/>
    </w:rPr>
  </w:style>
  <w:style w:type="paragraph" w:customStyle="1" w:styleId="Figure">
    <w:name w:val="Figure"/>
    <w:basedOn w:val="Normalny"/>
    <w:rsid w:val="004A2788"/>
    <w:pPr>
      <w:keepNext/>
      <w:autoSpaceDE/>
      <w:autoSpaceDN/>
      <w:spacing w:before="120"/>
      <w:jc w:val="center"/>
    </w:pPr>
    <w:rPr>
      <w:rFonts w:ascii="Times New Roman" w:hAnsi="Times New Roman"/>
      <w:lang w:val="en-GB" w:eastAsia="pl-PL"/>
    </w:rPr>
  </w:style>
  <w:style w:type="paragraph" w:customStyle="1" w:styleId="Figdescription">
    <w:name w:val="Fig. description"/>
    <w:basedOn w:val="Wcicienormalne"/>
    <w:rsid w:val="004A2788"/>
    <w:pPr>
      <w:spacing w:before="60" w:after="240"/>
      <w:jc w:val="center"/>
    </w:pPr>
    <w:rPr>
      <w:i/>
    </w:rPr>
  </w:style>
  <w:style w:type="paragraph" w:customStyle="1" w:styleId="Tekstpodstawowyba">
    <w:name w:val="Tekst podstawowy_b/a"/>
    <w:basedOn w:val="Tekstpodstawowy"/>
    <w:rsid w:val="00D07C87"/>
    <w:pPr>
      <w:autoSpaceDE/>
      <w:autoSpaceDN/>
      <w:spacing w:after="0" w:line="320" w:lineRule="exact"/>
      <w:jc w:val="both"/>
    </w:pPr>
    <w:rPr>
      <w:rFonts w:ascii="Times New Roman" w:hAnsi="Times New Roman"/>
      <w:spacing w:val="-4"/>
      <w:sz w:val="24"/>
      <w:szCs w:val="24"/>
      <w:lang w:val="pl-PL" w:eastAsia="pl-PL"/>
    </w:rPr>
  </w:style>
  <w:style w:type="paragraph" w:styleId="Tekstpodstawowy">
    <w:name w:val="Body Text"/>
    <w:basedOn w:val="Normalny"/>
    <w:rsid w:val="00D07C87"/>
    <w:pPr>
      <w:spacing w:after="120"/>
    </w:pPr>
  </w:style>
  <w:style w:type="paragraph" w:styleId="Tekstdymka">
    <w:name w:val="Balloon Text"/>
    <w:basedOn w:val="Normalny"/>
    <w:semiHidden/>
    <w:rsid w:val="0077676F"/>
    <w:rPr>
      <w:rFonts w:ascii="Tahoma" w:hAnsi="Tahoma" w:cs="Tahoma"/>
      <w:sz w:val="16"/>
      <w:szCs w:val="16"/>
    </w:rPr>
  </w:style>
  <w:style w:type="paragraph" w:styleId="Bezodstpw">
    <w:name w:val="No Spacing"/>
    <w:uiPriority w:val="1"/>
    <w:qFormat/>
    <w:rsid w:val="00B36DF7"/>
    <w:rPr>
      <w:rFonts w:eastAsia="Calibri"/>
      <w:sz w:val="22"/>
      <w:szCs w:val="22"/>
      <w:lang w:eastAsia="en-US"/>
    </w:rPr>
  </w:style>
  <w:style w:type="character" w:customStyle="1" w:styleId="Nierozpoznanawzmianka1">
    <w:name w:val="Nierozpoznana wzmianka1"/>
    <w:basedOn w:val="Domylnaczcionkaakapitu"/>
    <w:uiPriority w:val="99"/>
    <w:semiHidden/>
    <w:unhideWhenUsed/>
    <w:rsid w:val="00E31044"/>
    <w:rPr>
      <w:color w:val="605E5C"/>
      <w:shd w:val="clear" w:color="auto" w:fill="E1DFDD"/>
    </w:rPr>
  </w:style>
  <w:style w:type="paragraph" w:styleId="Akapitzlist">
    <w:name w:val="List Paragraph"/>
    <w:basedOn w:val="Normalny"/>
    <w:uiPriority w:val="34"/>
    <w:qFormat/>
    <w:rsid w:val="00E31044"/>
    <w:pPr>
      <w:ind w:left="720"/>
      <w:contextualSpacing/>
    </w:pPr>
  </w:style>
  <w:style w:type="table" w:styleId="Tabela-Siatka">
    <w:name w:val="Table Grid"/>
    <w:basedOn w:val="Standardowy"/>
    <w:uiPriority w:val="39"/>
    <w:rsid w:val="00EB59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0">
    <w:name w:val="references"/>
    <w:rsid w:val="004A0FF0"/>
    <w:pPr>
      <w:numPr>
        <w:numId w:val="23"/>
      </w:numPr>
      <w:spacing w:after="50" w:line="180" w:lineRule="exact"/>
      <w:jc w:val="both"/>
    </w:pPr>
    <w:rPr>
      <w:rFonts w:eastAsia="MS Mincho"/>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598495">
      <w:bodyDiv w:val="1"/>
      <w:marLeft w:val="0"/>
      <w:marRight w:val="0"/>
      <w:marTop w:val="0"/>
      <w:marBottom w:val="0"/>
      <w:divBdr>
        <w:top w:val="none" w:sz="0" w:space="0" w:color="auto"/>
        <w:left w:val="none" w:sz="0" w:space="0" w:color="auto"/>
        <w:bottom w:val="none" w:sz="0" w:space="0" w:color="auto"/>
        <w:right w:val="none" w:sz="0" w:space="0" w:color="auto"/>
      </w:divBdr>
    </w:div>
    <w:div w:id="503663845">
      <w:bodyDiv w:val="1"/>
      <w:marLeft w:val="0"/>
      <w:marRight w:val="0"/>
      <w:marTop w:val="0"/>
      <w:marBottom w:val="0"/>
      <w:divBdr>
        <w:top w:val="none" w:sz="0" w:space="0" w:color="auto"/>
        <w:left w:val="none" w:sz="0" w:space="0" w:color="auto"/>
        <w:bottom w:val="none" w:sz="0" w:space="0" w:color="auto"/>
        <w:right w:val="none" w:sz="0" w:space="0" w:color="auto"/>
      </w:divBdr>
    </w:div>
    <w:div w:id="1793983948">
      <w:bodyDiv w:val="1"/>
      <w:marLeft w:val="0"/>
      <w:marRight w:val="0"/>
      <w:marTop w:val="0"/>
      <w:marBottom w:val="0"/>
      <w:divBdr>
        <w:top w:val="none" w:sz="0" w:space="0" w:color="auto"/>
        <w:left w:val="none" w:sz="0" w:space="0" w:color="auto"/>
        <w:bottom w:val="none" w:sz="0" w:space="0" w:color="auto"/>
        <w:right w:val="none" w:sz="0" w:space="0" w:color="auto"/>
      </w:divBdr>
    </w:div>
    <w:div w:id="200350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30CC3-CC24-48A8-9882-2BD285C40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1627</Words>
  <Characters>9762</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vt:lpstr>
    </vt:vector>
  </TitlesOfParts>
  <Company>PSP</Company>
  <LinksUpToDate>false</LinksUpToDate>
  <CharactersWithSpaces>11367</CharactersWithSpaces>
  <SharedDoc>false</SharedDoc>
  <HLinks>
    <vt:vector size="6" baseType="variant">
      <vt:variant>
        <vt:i4>1245198</vt:i4>
      </vt:variant>
      <vt:variant>
        <vt:i4>3</vt:i4>
      </vt:variant>
      <vt:variant>
        <vt:i4>0</vt:i4>
      </vt:variant>
      <vt:variant>
        <vt:i4>5</vt:i4>
      </vt:variant>
      <vt:variant>
        <vt:lpwstr>http://www.opticsinfobase.org/oe/abstract.cfm?URI=oe-16-15-11618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Photonics Letters of Poland</dc:subject>
  <dc:creator>MAK</dc:creator>
  <cp:lastModifiedBy>Jakubowski, Piotr</cp:lastModifiedBy>
  <cp:revision>2</cp:revision>
  <cp:lastPrinted>2019-08-14T18:56:00Z</cp:lastPrinted>
  <dcterms:created xsi:type="dcterms:W3CDTF">2019-08-15T17:46:00Z</dcterms:created>
  <dcterms:modified xsi:type="dcterms:W3CDTF">2019-08-15T17:46:00Z</dcterms:modified>
</cp:coreProperties>
</file>